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571—89.3</w:t>
      </w:r>
      <w:r>
        <w:rPr>
          <w:rFonts w:ascii="Times New Roman" w:hAnsi="Times New Roman"/>
          <w:b/>
          <w:i w:val="false"/>
          <w:color w:val="000000"/>
          <w:sz w:val="22"/>
        </w:rPr>
        <w:t xml:space="preserve">(481A) </w:t>
      </w:r>
      <w:r>
        <w:rPr>
          <w:rFonts w:ascii="Times New Roman" w:hAnsi="Times New Roman"/>
          <w:b/>
          <w:i w:val="false"/>
          <w:color w:val="000000"/>
          <w:sz w:val="22"/>
        </w:rPr>
        <w:t xml:space="preserve">Disease-free certification. </w:t>
      </w:r>
      <w:r>
        <w:rPr>
          <w:rFonts w:ascii="Times New Roman" w:hAnsi="Times New Roman"/>
          <w:b w:val="false"/>
          <w:i w:val="false"/>
          <w:color w:val="000000"/>
          <w:sz w:val="22"/>
        </w:rPr>
        <w:t>Importation permits will not be issued for live fish, viable eggs, or semen of any species of the salmonid family (trout, salmon or char) unless the owner or operator of an aquaculture unit provides a statement certifying the fish, eggs or semen to be free of the following diseases.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89.3(1)</w:t>
      </w:r>
      <w:r>
        <w:rPr>
          <w:rFonts w:ascii="Times New Roman" w:hAnsi="Times New Roman"/>
          <w:b w:val="false"/>
          <w:i w:val="false"/>
          <w:color w:val="000000"/>
          <w:sz w:val="22"/>
        </w:rPr>
        <w:t> </w:t>
      </w:r>
      <w:r>
        <w:rPr>
          <w:rFonts w:ascii="Times New Roman" w:hAnsi="Times New Roman"/>
          <w:b w:val="false"/>
          <w:i/>
          <w:color w:val="000000"/>
          <w:sz w:val="22"/>
        </w:rPr>
        <w:t xml:space="preserve">Diseases detrimental to the state’s fishery resources. </w:t>
      </w:r>
    </w:p>
    <w:p>
      <w:pPr>
        <w:spacing w:before="0" w:after="0"/>
        <w:ind w:left="120"/>
        <w:jc w:val="both"/>
      </w:pPr>
      <w:r>
        <w:rPr>
          <w:rFonts w:ascii="Times New Roman" w:hAnsi="Times New Roman"/>
          <w:b w:val="false"/>
          <w:i w:val="false"/>
          <w:color w:val="000000"/>
          <w:sz w:val="22"/>
        </w:rPr>
        <w:t>Viral Hemorrhagic Septicemia (VHS)</w:t>
      </w:r>
    </w:p>
    <w:p>
      <w:pPr>
        <w:spacing w:before="0" w:after="0"/>
        <w:ind w:left="120"/>
        <w:jc w:val="both"/>
      </w:pPr>
      <w:r>
        <w:rPr>
          <w:rFonts w:ascii="Times New Roman" w:hAnsi="Times New Roman"/>
          <w:b w:val="false"/>
          <w:i w:val="false"/>
          <w:color w:val="000000"/>
          <w:sz w:val="22"/>
        </w:rPr>
        <w:t>Infectious Pancreatic Necrosis (IPN)</w:t>
      </w:r>
    </w:p>
    <w:p>
      <w:pPr>
        <w:spacing w:before="0" w:after="0"/>
        <w:ind w:left="120"/>
        <w:jc w:val="both"/>
      </w:pPr>
      <w:r>
        <w:rPr>
          <w:rFonts w:ascii="Times New Roman" w:hAnsi="Times New Roman"/>
          <w:b w:val="false"/>
          <w:i w:val="false"/>
          <w:color w:val="000000"/>
          <w:sz w:val="22"/>
        </w:rPr>
        <w:t>Whirling Disease (</w:t>
      </w:r>
      <w:r>
        <w:rPr>
          <w:rFonts w:ascii="Times New Roman" w:hAnsi="Times New Roman"/>
          <w:b w:val="false"/>
          <w:i/>
          <w:color w:val="000000"/>
          <w:sz w:val="22"/>
        </w:rPr>
        <w:t>Myxosoma cerebralis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Infectious Hematopoietic Necrosis (IHN)</w:t>
      </w:r>
    </w:p>
    <w:p>
      <w:pPr>
        <w:spacing w:before="0" w:after="0"/>
        <w:ind w:left="120"/>
        <w:jc w:val="both"/>
      </w:pPr>
      <w:r>
        <w:rPr>
          <w:rFonts w:ascii="Times New Roman" w:hAnsi="Times New Roman"/>
          <w:b w:val="false"/>
          <w:i w:val="false"/>
          <w:color w:val="000000"/>
          <w:sz w:val="22"/>
        </w:rPr>
        <w:t>Ceratomyxosis (</w:t>
      </w:r>
      <w:r>
        <w:rPr>
          <w:rFonts w:ascii="Times New Roman" w:hAnsi="Times New Roman"/>
          <w:b w:val="false"/>
          <w:i/>
          <w:color w:val="000000"/>
          <w:sz w:val="22"/>
        </w:rPr>
        <w:t>Ceratomyxa shasta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Bacterial Kidney Disease (</w:t>
      </w:r>
      <w:r>
        <w:rPr>
          <w:rFonts w:ascii="Times New Roman" w:hAnsi="Times New Roman"/>
          <w:b w:val="false"/>
          <w:i/>
          <w:color w:val="000000"/>
          <w:sz w:val="22"/>
        </w:rPr>
        <w:t>R. salmoninarium</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Proliferative Kidney Disease (PKD)</w:t>
      </w:r>
    </w:p>
    <w:p>
      <w:pPr>
        <w:spacing w:before="0" w:after="0"/>
        <w:ind w:left="120"/>
        <w:jc w:val="both"/>
      </w:pPr>
      <w:r>
        <w:rPr>
          <w:rFonts w:ascii="Times New Roman" w:hAnsi="Times New Roman"/>
          <w:b w:val="false"/>
          <w:i w:val="false"/>
          <w:color w:val="000000"/>
          <w:sz w:val="22"/>
        </w:rPr>
        <w:t>Enteric Redmouth (</w:t>
      </w:r>
      <w:r>
        <w:rPr>
          <w:rFonts w:ascii="Times New Roman" w:hAnsi="Times New Roman"/>
          <w:b w:val="false"/>
          <w:i/>
          <w:color w:val="000000"/>
          <w:sz w:val="22"/>
        </w:rPr>
        <w:t>Yersinia ruckeri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Vibriosis (</w:t>
      </w:r>
      <w:r>
        <w:rPr>
          <w:rFonts w:ascii="Times New Roman" w:hAnsi="Times New Roman"/>
          <w:b w:val="false"/>
          <w:i/>
          <w:color w:val="000000"/>
          <w:sz w:val="22"/>
        </w:rPr>
        <w:t>vibrio sp.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89.3(2)</w:t>
      </w:r>
      <w:r>
        <w:rPr>
          <w:rFonts w:ascii="Times New Roman" w:hAnsi="Times New Roman"/>
          <w:b w:val="false"/>
          <w:i w:val="false"/>
          <w:color w:val="000000"/>
          <w:sz w:val="22"/>
        </w:rPr>
        <w:t> </w:t>
      </w:r>
      <w:r>
        <w:rPr>
          <w:rFonts w:ascii="Times New Roman" w:hAnsi="Times New Roman"/>
          <w:b w:val="false"/>
          <w:i/>
          <w:color w:val="000000"/>
          <w:sz w:val="22"/>
        </w:rPr>
        <w:t xml:space="preserve">Reportable diseases. </w:t>
      </w:r>
      <w:r>
        <w:rPr>
          <w:rFonts w:ascii="Times New Roman" w:hAnsi="Times New Roman"/>
          <w:b w:val="false"/>
          <w:i w:val="false"/>
          <w:color w:val="000000"/>
          <w:sz w:val="22"/>
        </w:rPr>
        <w:t>Reportable diseases are detrimental to individual aquaculture units and may be detrimental to wild fish populations. Reportable diseases are Enteric Septicemia of Catfish (</w:t>
      </w:r>
      <w:r>
        <w:rPr>
          <w:rFonts w:ascii="Times New Roman" w:hAnsi="Times New Roman"/>
          <w:b w:val="false"/>
          <w:i/>
          <w:color w:val="000000"/>
          <w:sz w:val="22"/>
        </w:rPr>
        <w:t>Edwardsiella ictaluri</w:t>
      </w:r>
      <w:r>
        <w:rPr>
          <w:rFonts w:ascii="Times New Roman" w:hAnsi="Times New Roman"/>
          <w:b w:val="false"/>
          <w:i w:val="false"/>
          <w:color w:val="000000"/>
          <w:sz w:val="22"/>
        </w:rPr>
        <w:t>) (ESC), Channel Catfish Virus Disease (CCVD) and Furunculosis (</w:t>
      </w:r>
      <w:r>
        <w:rPr>
          <w:rFonts w:ascii="Times New Roman" w:hAnsi="Times New Roman"/>
          <w:b w:val="false"/>
          <w:i/>
          <w:color w:val="000000"/>
          <w:sz w:val="22"/>
        </w:rPr>
        <w:t>Aeromonas salmonicida</w:t>
      </w:r>
      <w:r>
        <w:rPr>
          <w:rFonts w:ascii="Times New Roman" w:hAnsi="Times New Roman"/>
          <w:b w:val="false"/>
          <w:i w:val="false"/>
          <w:color w:val="000000"/>
          <w:sz w:val="22"/>
        </w:rPr>
        <w:t>). Disease certification statements are required for the diseases prior to importation of any live fish, viable eggs, or semen of any species of the Ictalurid (catfishes and bullheads) and Salmonid (trout, salmon and char) families. Importation permits will be considered on a case-by-case basis for fish with reportable diseases.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89.3(3)</w:t>
      </w:r>
      <w:r>
        <w:rPr>
          <w:rFonts w:ascii="Times New Roman" w:hAnsi="Times New Roman"/>
          <w:b w:val="false"/>
          <w:i w:val="false"/>
          <w:color w:val="000000"/>
          <w:sz w:val="22"/>
        </w:rPr>
        <w:t> </w:t>
      </w:r>
      <w:r>
        <w:rPr>
          <w:rFonts w:ascii="Times New Roman" w:hAnsi="Times New Roman"/>
          <w:b w:val="false"/>
          <w:i/>
          <w:color w:val="000000"/>
          <w:sz w:val="22"/>
        </w:rPr>
        <w:t xml:space="preserve">Certified pathologists for inspection. </w:t>
      </w:r>
      <w:r>
        <w:rPr>
          <w:rFonts w:ascii="Times New Roman" w:hAnsi="Times New Roman"/>
          <w:b w:val="false"/>
          <w:i w:val="false"/>
          <w:color w:val="000000"/>
          <w:sz w:val="22"/>
        </w:rPr>
        <w:t>All disease certification statements must be issued by approved certified pathologists. A list of approved certified pathologists will be made available to the owner or operator of the aquaculture unit requesting a fish importation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0277D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