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571—89.2</w:t>
      </w:r>
      <w:r>
        <w:rPr>
          <w:rFonts w:ascii="Times New Roman" w:hAnsi="Times New Roman"/>
          <w:b/>
          <w:i w:val="false"/>
          <w:color w:val="000000"/>
          <w:sz w:val="22"/>
        </w:rPr>
        <w:t xml:space="preserve">(481A) </w:t>
      </w:r>
      <w:r>
        <w:rPr>
          <w:rFonts w:ascii="Times New Roman" w:hAnsi="Times New Roman"/>
          <w:b/>
          <w:i w:val="false"/>
          <w:color w:val="000000"/>
          <w:sz w:val="22"/>
        </w:rPr>
        <w:t xml:space="preserve">Importation permit. </w:t>
      </w:r>
      <w:r>
        <w:rPr>
          <w:rFonts w:ascii="Times New Roman" w:hAnsi="Times New Roman"/>
          <w:b w:val="false"/>
          <w:i w:val="false"/>
          <w:color w:val="000000"/>
          <w:sz w:val="22"/>
        </w:rPr>
        <w:t xml:space="preserve">An importation permit is required to receive, propagate or sell in the state any aquaculture species not listed in </w:t>
      </w:r>
      <w:hyperlink r:id="rId4">
        <w:r>
          <w:rPr>
            <w:rStyle w:val="Hyperlink"/>
            <w:rFonts w:ascii="Times New Roman" w:hAnsi="Times New Roman"/>
            <w:b w:val="false"/>
            <w:i w:val="false"/>
            <w:color w:val="000000"/>
            <w:sz w:val="22"/>
          </w:rPr>
          <w:t>571—89.1</w:t>
        </w:r>
      </w:hyperlink>
      <w:r>
        <w:rPr>
          <w:rFonts w:ascii="Times New Roman" w:hAnsi="Times New Roman"/>
          <w:b w:val="false"/>
          <w:i w:val="false"/>
          <w:color w:val="000000"/>
          <w:sz w:val="22"/>
        </w:rPr>
        <w:t>(481A). In addition, aquaculture units shall not import live fish, viable eggs, or semen of any species of the salmonid family (trout, salmon or char) and ictalurid family (catfishes and bullheads) unless the owner or operator possesses a fish importation permit. Importation permits may be applied for on forms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8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