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571—86.1</w:t>
      </w:r>
      <w:r>
        <w:rPr>
          <w:rFonts w:ascii="Times New Roman" w:hAnsi="Times New Roman"/>
          <w:b/>
          <w:i w:val="false"/>
          <w:color w:val="000000"/>
          <w:sz w:val="22"/>
        </w:rPr>
        <w:t xml:space="preserve">(481A,482) </w:t>
      </w:r>
      <w:r>
        <w:rPr>
          <w:rFonts w:ascii="Times New Roman" w:hAnsi="Times New Roman"/>
          <w:b/>
          <w:i w:val="false"/>
          <w:color w:val="000000"/>
          <w:sz w:val="22"/>
        </w:rPr>
        <w:t xml:space="preserve">Harvesting. </w:t>
      </w:r>
      <w:r>
        <w:rPr>
          <w:rFonts w:ascii="Times New Roman" w:hAnsi="Times New Roman"/>
          <w:b w:val="false"/>
          <w:i w:val="false"/>
          <w:color w:val="000000"/>
          <w:sz w:val="22"/>
        </w:rPr>
        <w:t>Turtles may be harvested from waters of the state subject to the following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86.1(1)</w:t>
      </w:r>
      <w:r>
        <w:rPr>
          <w:rFonts w:ascii="Times New Roman" w:hAnsi="Times New Roman"/>
          <w:b w:val="false"/>
          <w:i w:val="false"/>
          <w:color w:val="000000"/>
          <w:sz w:val="22"/>
        </w:rPr>
        <w:t> </w:t>
      </w:r>
      <w:r>
        <w:rPr>
          <w:rFonts w:ascii="Times New Roman" w:hAnsi="Times New Roman"/>
          <w:b w:val="false"/>
          <w:i/>
          <w:color w:val="000000"/>
          <w:sz w:val="22"/>
        </w:rPr>
        <w:t xml:space="preserve">Species and season. </w:t>
      </w:r>
      <w:r>
        <w:rPr>
          <w:rFonts w:ascii="Times New Roman" w:hAnsi="Times New Roman"/>
          <w:b w:val="false"/>
          <w:i w:val="false"/>
          <w:color w:val="000000"/>
          <w:sz w:val="22"/>
        </w:rPr>
        <w:t xml:space="preserve">It shall be lawful to commercially and noncommercially (recreationally) harvest spiny softshell </w:t>
      </w:r>
      <w:r>
        <w:rPr>
          <w:rFonts w:ascii="Times New Roman" w:hAnsi="Times New Roman"/>
          <w:b w:val="false"/>
          <w:i/>
          <w:color w:val="000000"/>
          <w:sz w:val="22"/>
        </w:rPr>
        <w:t>Apalone spinifera</w:t>
      </w:r>
      <w:r>
        <w:rPr>
          <w:rFonts w:ascii="Times New Roman" w:hAnsi="Times New Roman"/>
          <w:b w:val="false"/>
          <w:i w:val="false"/>
          <w:color w:val="000000"/>
          <w:sz w:val="22"/>
        </w:rPr>
        <w:t xml:space="preserve">, smooth softshell </w:t>
      </w:r>
      <w:r>
        <w:rPr>
          <w:rFonts w:ascii="Times New Roman" w:hAnsi="Times New Roman"/>
          <w:b w:val="false"/>
          <w:i/>
          <w:color w:val="000000"/>
          <w:sz w:val="22"/>
        </w:rPr>
        <w:t>Apalone mutica</w:t>
      </w:r>
      <w:r>
        <w:rPr>
          <w:rFonts w:ascii="Times New Roman" w:hAnsi="Times New Roman"/>
          <w:b w:val="false"/>
          <w:i w:val="false"/>
          <w:color w:val="000000"/>
          <w:sz w:val="22"/>
        </w:rPr>
        <w:t xml:space="preserve">, and painted </w:t>
      </w:r>
      <w:r>
        <w:rPr>
          <w:rFonts w:ascii="Times New Roman" w:hAnsi="Times New Roman"/>
          <w:b w:val="false"/>
          <w:i/>
          <w:color w:val="000000"/>
          <w:sz w:val="22"/>
        </w:rPr>
        <w:t>Chrysemys picta</w:t>
      </w:r>
      <w:r>
        <w:rPr>
          <w:rFonts w:ascii="Times New Roman" w:hAnsi="Times New Roman"/>
          <w:b w:val="false"/>
          <w:i w:val="false"/>
          <w:color w:val="000000"/>
          <w:sz w:val="22"/>
        </w:rPr>
        <w:t xml:space="preserve"> turtles from July 16 through May 14. Common snapping turtles </w:t>
      </w:r>
      <w:r>
        <w:rPr>
          <w:rFonts w:ascii="Times New Roman" w:hAnsi="Times New Roman"/>
          <w:b w:val="false"/>
          <w:i/>
          <w:color w:val="000000"/>
          <w:sz w:val="22"/>
        </w:rPr>
        <w:t>Chelydra serpentina</w:t>
      </w:r>
      <w:r>
        <w:rPr>
          <w:rFonts w:ascii="Times New Roman" w:hAnsi="Times New Roman"/>
          <w:b w:val="false"/>
          <w:i w:val="false"/>
          <w:color w:val="000000"/>
          <w:sz w:val="22"/>
        </w:rPr>
        <w:t xml:space="preserve"> may be harvested commercially from July 16 through May 14 and recreationally year-round. Harvesting turtle eggs from wild nests is prohibited. Turtles shall not be harvested from gear set prior to midnight on July 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86.1(2)</w:t>
      </w:r>
      <w:r>
        <w:rPr>
          <w:rFonts w:ascii="Times New Roman" w:hAnsi="Times New Roman"/>
          <w:b w:val="false"/>
          <w:i w:val="false"/>
          <w:color w:val="000000"/>
          <w:sz w:val="22"/>
        </w:rPr>
        <w:t> </w:t>
      </w:r>
      <w:r>
        <w:rPr>
          <w:rFonts w:ascii="Times New Roman" w:hAnsi="Times New Roman"/>
          <w:b w:val="false"/>
          <w:i/>
          <w:color w:val="000000"/>
          <w:sz w:val="22"/>
        </w:rPr>
        <w:t xml:space="preserve">Methods. </w:t>
      </w:r>
      <w:r>
        <w:rPr>
          <w:rFonts w:ascii="Times New Roman" w:hAnsi="Times New Roman"/>
          <w:b w:val="false"/>
          <w:i w:val="false"/>
          <w:color w:val="000000"/>
          <w:sz w:val="22"/>
        </w:rPr>
        <w:t>Harvest of turtles shall only be by hand, turtle hook, turtle trap, licensed commercial fishing gear in the Mississippi and Missouri Rivers only, and hook-and-line. Turtle traps shall be constructed with no more than one throat or funneling device. The last hoop to the tail-line of turtle traps shall have an unobstructed, functional escape hole with a minimum diameter in all directions of 7½ inches to allow passage of fish and small turtles. Barrel- and floating-type turtle traps must also meet the unobstructed, functional escape hole criterion.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86.1(3)</w:t>
      </w:r>
      <w:r>
        <w:rPr>
          <w:rFonts w:ascii="Times New Roman" w:hAnsi="Times New Roman"/>
          <w:b w:val="false"/>
          <w:i w:val="false"/>
          <w:color w:val="000000"/>
          <w:sz w:val="22"/>
        </w:rPr>
        <w:t> </w:t>
      </w:r>
      <w:r>
        <w:rPr>
          <w:rFonts w:ascii="Times New Roman" w:hAnsi="Times New Roman"/>
          <w:b w:val="false"/>
          <w:i/>
          <w:color w:val="000000"/>
          <w:sz w:val="22"/>
        </w:rPr>
        <w:t xml:space="preserve">Daily catch and possession limits.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daily catch limits apply to commercial and recreational harvesters, while the possession limits apply only to commercial harvesters:</w:t>
      </w:r>
    </w:p>
    <w:tbl>
      <w:tblPr>
        <w:tblW w:w="0" w:type="auto"/>
        <w:tblCellSpacing w:w="0" w:type="auto"/>
        <w:tblBorders>
          <w:top w:val="none"/>
          <w:left w:val="none"/>
          <w:bottom w:val="none"/>
          <w:right w:val="none"/>
          <w:insideH w:val="none"/>
          <w:insideV w:val="none"/>
        </w:tblBorders>
        <w:tblLayout w:type="fixed"/>
      </w:tblPr>
      <w:tblGrid>
        <w:gridCol w:w="3840"/>
        <w:gridCol w:w="3840"/>
        <w:gridCol w:w="3840"/>
      </w:tblGrid>
      <w:tr>
        <w:trPr>
          <w:trHeight w:val="405" w:hRule="atLeast"/>
        </w:trPr>
        <w:tc>
          <w:tcPr>
            <w:tcW w:w="384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Turtle Species</w:t>
            </w:r>
          </w:p>
        </w:tc>
        <w:tc>
          <w:tcPr>
            <w:tcW w:w="384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Daily Catch Limit</w:t>
            </w:r>
            <w:r>
              <w:br/>
            </w:r>
            <w:r>
              <w:rPr>
                <w:rFonts w:ascii="Times New Roman" w:hAnsi="Times New Roman"/>
                <w:b/>
                <w:i w:val="false"/>
                <w:color w:val="000000"/>
                <w:sz w:val="16"/>
              </w:rPr>
              <w:t>(commercial and recreational)</w:t>
            </w:r>
          </w:p>
        </w:tc>
        <w:tc>
          <w:tcPr>
            <w:tcW w:w="384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Possession Limit</w:t>
            </w:r>
            <w:r>
              <w:br/>
            </w:r>
            <w:r>
              <w:rPr>
                <w:rFonts w:ascii="Times New Roman" w:hAnsi="Times New Roman"/>
                <w:b/>
                <w:i w:val="false"/>
                <w:color w:val="000000"/>
                <w:sz w:val="16"/>
              </w:rPr>
              <w:t>(commercial only)</w:t>
            </w:r>
          </w:p>
        </w:tc>
      </w:tr>
      <w:tr>
        <w:trPr>
          <w:trHeight w:val="225" w:hRule="atLeast"/>
        </w:trPr>
        <w:tc>
          <w:tcPr>
            <w:tcW w:w="384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Common snapping turtle</w:t>
            </w:r>
          </w:p>
        </w:tc>
        <w:tc>
          <w:tcPr>
            <w:tcW w:w="384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w:t>
            </w:r>
          </w:p>
        </w:tc>
        <w:tc>
          <w:tcPr>
            <w:tcW w:w="384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w:t>
            </w:r>
          </w:p>
        </w:tc>
      </w:tr>
      <w:tr>
        <w:trPr>
          <w:trHeight w:val="405" w:hRule="atLeast"/>
        </w:trPr>
        <w:tc>
          <w:tcPr>
            <w:tcW w:w="384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Spiny softshell and smooth softshell turtle, in aggregate</w:t>
            </w:r>
          </w:p>
        </w:tc>
        <w:tc>
          <w:tcPr>
            <w:tcW w:w="384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w:t>
            </w:r>
          </w:p>
        </w:tc>
        <w:tc>
          <w:tcPr>
            <w:tcW w:w="384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w:t>
            </w:r>
          </w:p>
        </w:tc>
      </w:tr>
      <w:tr>
        <w:trPr>
          <w:trHeight w:val="225" w:hRule="atLeast"/>
        </w:trPr>
        <w:tc>
          <w:tcPr>
            <w:tcW w:w="38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Painted turtle</w:t>
            </w:r>
          </w:p>
        </w:tc>
        <w:tc>
          <w:tcPr>
            <w:tcW w:w="384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w:t>
            </w:r>
          </w:p>
        </w:tc>
        <w:tc>
          <w:tcPr>
            <w:tcW w:w="384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possession limit for recreational harvesters is a maximum of 100 pounds of live turtles or 50 pounds of dressed turtles pursuant to Iowa Code section </w:t>
      </w:r>
      <w:hyperlink r:id="rId4">
        <w:r>
          <w:rPr>
            <w:rStyle w:val="Hyperlink"/>
            <w:rFonts w:ascii="Times New Roman" w:hAnsi="Times New Roman"/>
            <w:b w:val="false"/>
            <w:i w:val="false"/>
            <w:color w:val="000000"/>
            <w:sz w:val="22"/>
          </w:rPr>
          <w:t>483A.28</w:t>
        </w:r>
      </w:hyperlink>
      <w:r>
        <w:rPr>
          <w:rFonts w:ascii="Times New Roman" w:hAnsi="Times New Roman"/>
          <w:b w:val="false"/>
          <w:i w:val="false"/>
          <w:color w:val="000000"/>
          <w:sz w:val="22"/>
        </w:rPr>
        <w:t>. A recreational harvester’s daily catch limit shall not exceed this possession limit.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86.1(4)</w:t>
      </w:r>
      <w:r>
        <w:rPr>
          <w:rFonts w:ascii="Times New Roman" w:hAnsi="Times New Roman"/>
          <w:b w:val="false"/>
          <w:i w:val="false"/>
          <w:color w:val="000000"/>
          <w:sz w:val="22"/>
        </w:rPr>
        <w:t> </w:t>
      </w:r>
      <w:r>
        <w:rPr>
          <w:rFonts w:ascii="Times New Roman" w:hAnsi="Times New Roman"/>
          <w:b w:val="false"/>
          <w:i/>
          <w:color w:val="000000"/>
          <w:sz w:val="22"/>
        </w:rPr>
        <w:t xml:space="preserve">Culling. </w:t>
      </w:r>
      <w:r>
        <w:rPr>
          <w:rFonts w:ascii="Times New Roman" w:hAnsi="Times New Roman"/>
          <w:b w:val="false"/>
          <w:i w:val="false"/>
          <w:color w:val="000000"/>
          <w:sz w:val="22"/>
        </w:rPr>
        <w:t>It is unlawful to sort, cull, high-grade, or otherwise replace any turtle in possession.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86.1(5)</w:t>
      </w:r>
      <w:r>
        <w:rPr>
          <w:rFonts w:ascii="Times New Roman" w:hAnsi="Times New Roman"/>
          <w:b w:val="false"/>
          <w:i w:val="false"/>
          <w:color w:val="000000"/>
          <w:sz w:val="22"/>
        </w:rPr>
        <w:t> </w:t>
      </w:r>
      <w:r>
        <w:rPr>
          <w:rFonts w:ascii="Times New Roman" w:hAnsi="Times New Roman"/>
          <w:b w:val="false"/>
          <w:i/>
          <w:color w:val="000000"/>
          <w:sz w:val="22"/>
        </w:rPr>
        <w:t xml:space="preserve">Tags. </w:t>
      </w:r>
      <w:r>
        <w:rPr>
          <w:rFonts w:ascii="Times New Roman" w:hAnsi="Times New Roman"/>
          <w:b w:val="false"/>
          <w:i w:val="false"/>
          <w:color w:val="000000"/>
          <w:sz w:val="22"/>
        </w:rPr>
        <w:t>All harvesters shall affix a weather-resistant gear tag above the waterline to each piece of gear. The gear tag must plainly show the name, address, and license number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86.1(6)</w:t>
      </w:r>
      <w:r>
        <w:rPr>
          <w:rFonts w:ascii="Times New Roman" w:hAnsi="Times New Roman"/>
          <w:b w:val="false"/>
          <w:i w:val="false"/>
          <w:color w:val="000000"/>
          <w:sz w:val="22"/>
        </w:rPr>
        <w:t> </w:t>
      </w:r>
      <w:r>
        <w:rPr>
          <w:rFonts w:ascii="Times New Roman" w:hAnsi="Times New Roman"/>
          <w:b w:val="false"/>
          <w:i/>
          <w:color w:val="000000"/>
          <w:sz w:val="22"/>
        </w:rPr>
        <w:t xml:space="preserve">Gear attendance. </w:t>
      </w:r>
      <w:r>
        <w:rPr>
          <w:rFonts w:ascii="Times New Roman" w:hAnsi="Times New Roman"/>
          <w:b w:val="false"/>
          <w:i w:val="false"/>
          <w:color w:val="000000"/>
          <w:sz w:val="22"/>
        </w:rPr>
        <w:t>All turtle traps shall be set with the top of the trap visible above the waterline at all times and shall be checked and completely emptied of catch at least once every 72 hours. When a trap is checked, turtles shall either be taken into possession up to the daily catch limit or immediately released.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86.1(7)</w:t>
      </w:r>
      <w:r>
        <w:rPr>
          <w:rFonts w:ascii="Times New Roman" w:hAnsi="Times New Roman"/>
          <w:b w:val="false"/>
          <w:i w:val="false"/>
          <w:color w:val="000000"/>
          <w:sz w:val="22"/>
        </w:rPr>
        <w:t> </w:t>
      </w:r>
      <w:r>
        <w:rPr>
          <w:rFonts w:ascii="Times New Roman" w:hAnsi="Times New Roman"/>
          <w:b w:val="false"/>
          <w:i/>
          <w:color w:val="000000"/>
          <w:sz w:val="22"/>
        </w:rPr>
        <w:t xml:space="preserve">Exclusions. </w:t>
      </w:r>
      <w:r>
        <w:rPr>
          <w:rFonts w:ascii="Times New Roman" w:hAnsi="Times New Roman"/>
          <w:b w:val="false"/>
          <w:i w:val="false"/>
          <w:color w:val="000000"/>
          <w:sz w:val="22"/>
        </w:rPr>
        <w:t xml:space="preserve">Iowa Code chapter </w:t>
      </w:r>
      <w:hyperlink r:id="rId5">
        <w:r>
          <w:rPr>
            <w:rStyle w:val="Hyperlink"/>
            <w:rFonts w:ascii="Times New Roman" w:hAnsi="Times New Roman"/>
            <w:b w:val="false"/>
            <w:i w:val="false"/>
            <w:color w:val="000000"/>
            <w:sz w:val="22"/>
          </w:rPr>
          <w:t>482</w:t>
        </w:r>
      </w:hyperlink>
      <w:r>
        <w:rPr>
          <w:rFonts w:ascii="Times New Roman" w:hAnsi="Times New Roman"/>
          <w:b w:val="false"/>
          <w:i w:val="false"/>
          <w:color w:val="000000"/>
          <w:sz w:val="22"/>
        </w:rPr>
        <w:t xml:space="preserve"> does not apply to turtles taken and imported from outside the state. The boundary waters are considered to be within the state.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
        <w:r>
          <w:rPr>
            <w:rStyle w:val="Hyperlink"/>
            <w:rFonts w:ascii="Times New Roman" w:hAnsi="Times New Roman"/>
            <w:b w:val="false"/>
            <w:i w:val="false"/>
            <w:color w:val="000000"/>
            <w:sz w:val="22"/>
          </w:rPr>
          <w:t>481A.38</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481A.39</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481A.67</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482.1</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482.4</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482.5</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482.11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0275D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sectPr>
      <w:footerReference r:id="rId13"/>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83A.28.pdf" Type="http://schemas.openxmlformats.org/officeDocument/2006/relationships/hyperlink" Id="rId4"/>
    <Relationship TargetMode="External" Target="https://www.legis.iowa.gov/docs/ico/chapter/482.pdf" Type="http://schemas.openxmlformats.org/officeDocument/2006/relationships/hyperlink" Id="rId5"/>
    <Relationship TargetMode="External" Target="https://www.legis.iowa.gov/docs/ico/chapter/481A.38.pdf" Type="http://schemas.openxmlformats.org/officeDocument/2006/relationships/hyperlink" Id="rId6"/>
    <Relationship TargetMode="External" Target="https://www.legis.iowa.gov/docs/ico/chapter/481A.39.pdf" Type="http://schemas.openxmlformats.org/officeDocument/2006/relationships/hyperlink" Id="rId7"/>
    <Relationship TargetMode="External" Target="https://www.legis.iowa.gov/docs/ico/chapter/481A.67.pdf" Type="http://schemas.openxmlformats.org/officeDocument/2006/relationships/hyperlink" Id="rId8"/>
    <Relationship TargetMode="External" Target="https://www.legis.iowa.gov/docs/ico/chapter/482.1.pdf" Type="http://schemas.openxmlformats.org/officeDocument/2006/relationships/hyperlink" Id="rId9"/>
    <Relationship TargetMode="External" Target="https://www.legis.iowa.gov/docs/ico/chapter/482.4.pdf" Type="http://schemas.openxmlformats.org/officeDocument/2006/relationships/hyperlink" Id="rId10"/>
    <Relationship TargetMode="External" Target="https://www.legis.iowa.gov/docs/ico/chapter/482.5.pdf" Type="http://schemas.openxmlformats.org/officeDocument/2006/relationships/hyperlink" Id="rId11"/>
    <Relationship TargetMode="External" Target="https://www.legis.iowa.gov/docs/ico/chapter/482.11.pdf" Type="http://schemas.openxmlformats.org/officeDocument/2006/relationships/hyperlink" Id="rId12"/>
    <Relationship Target="footer.xml" Type="http://schemas.openxmlformats.org/officeDocument/2006/relationships/footer" Id="rId13"/>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