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571—81.3</w:t>
      </w:r>
      <w:r>
        <w:rPr>
          <w:rFonts w:ascii="Times New Roman" w:hAnsi="Times New Roman"/>
          <w:b/>
          <w:i w:val="false"/>
          <w:color w:val="000000"/>
          <w:sz w:val="22"/>
        </w:rPr>
        <w:t xml:space="preserve">(481A) </w:t>
      </w:r>
      <w:r>
        <w:rPr>
          <w:rFonts w:ascii="Times New Roman" w:hAnsi="Times New Roman"/>
          <w:b/>
          <w:i w:val="false"/>
          <w:color w:val="000000"/>
          <w:sz w:val="22"/>
        </w:rPr>
        <w:t xml:space="preserve">Trotlines and throw 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Where permitted. </w:t>
      </w:r>
      <w:r>
        <w:rPr>
          <w:rFonts w:ascii="Times New Roman" w:hAnsi="Times New Roman"/>
          <w:b w:val="false"/>
          <w:i w:val="false"/>
          <w:color w:val="000000"/>
          <w:sz w:val="22"/>
        </w:rPr>
        <w:t>It shall be lawful to use trotlines or throw lines in all rivers and streams of the state, except in Mitchell, Howard, Winneshiek, Allamakee, Fayette, Clayton, Delaware, Dubuque, and Jackson counties. Trotlines or throw lines may be used in the above nine counties in the following stream segments: Mississippi River; Maquoketa River, mouth to Backbone State Park Dam; North Fork Maquoketa River, mouth to Jones-Dubuque County line; Turkey River, mouth to the Elkader Dam; and Upper Iowa River, mouth to the first dam upstream in Winneshiek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Removal of lines. </w:t>
      </w:r>
      <w:r>
        <w:rPr>
          <w:rFonts w:ascii="Times New Roman" w:hAnsi="Times New Roman"/>
          <w:b w:val="false"/>
          <w:i w:val="false"/>
          <w:color w:val="000000"/>
          <w:sz w:val="22"/>
        </w:rPr>
        <w:t>All trotlines and parts thereof shall be removed from the shore when not being actively fished. A trotline shall be considered actively fished if at least once daily the trotline is left with at least one baited hook in the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