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571—78.9</w:t>
      </w:r>
      <w:r>
        <w:rPr>
          <w:rFonts w:ascii="Times New Roman" w:hAnsi="Times New Roman"/>
          <w:b/>
          <w:i w:val="false"/>
          <w:color w:val="000000"/>
          <w:sz w:val="22"/>
        </w:rPr>
        <w:t xml:space="preserve">(456A) </w:t>
      </w:r>
      <w:r>
        <w:rPr>
          <w:rFonts w:ascii="Times New Roman" w:hAnsi="Times New Roman"/>
          <w:b/>
          <w:i w:val="false"/>
          <w:color w:val="000000"/>
          <w:sz w:val="22"/>
        </w:rPr>
        <w:t xml:space="preserve">Records retention. </w:t>
      </w:r>
      <w:r>
        <w:rPr>
          <w:rFonts w:ascii="Times New Roman" w:hAnsi="Times New Roman"/>
          <w:b w:val="false"/>
          <w:i w:val="false"/>
          <w:color w:val="000000"/>
          <w:sz w:val="22"/>
        </w:rPr>
        <w:t>Any records required by this chapter to be maintained or submitted shall be produced for inspection upon request by the department, director, officer appointed by the department, or peace officer. All records under this chapter must be retained for a period of three years after the expiration of the grower’s, harvester’s, or dealer’s permit. Failure to maintain records or to submit reports as required by these rules is a violation of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