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571—78.7</w:t>
      </w:r>
      <w:r>
        <w:rPr>
          <w:rFonts w:ascii="Times New Roman" w:hAnsi="Times New Roman"/>
          <w:b/>
          <w:i w:val="false"/>
          <w:color w:val="000000"/>
          <w:sz w:val="22"/>
        </w:rPr>
        <w:t xml:space="preserve">(456A) </w:t>
      </w:r>
      <w:r>
        <w:rPr>
          <w:rFonts w:ascii="Times New Roman" w:hAnsi="Times New Roman"/>
          <w:b/>
          <w:i w:val="false"/>
          <w:color w:val="000000"/>
          <w:sz w:val="22"/>
        </w:rPr>
        <w:t xml:space="preserve">Dealer locations.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78.7(1)</w:t>
      </w:r>
      <w:r>
        <w:rPr>
          <w:rFonts w:ascii="Times New Roman" w:hAnsi="Times New Roman"/>
          <w:b w:val="false"/>
          <w:i w:val="false"/>
          <w:color w:val="000000"/>
          <w:sz w:val="22"/>
        </w:rPr>
        <w:t> </w:t>
      </w:r>
      <w:r>
        <w:rPr>
          <w:rFonts w:ascii="Times New Roman" w:hAnsi="Times New Roman"/>
          <w:b w:val="false"/>
          <w:i/>
          <w:color w:val="000000"/>
          <w:sz w:val="22"/>
        </w:rPr>
        <w:t xml:space="preserve">Transact business. </w:t>
      </w:r>
      <w:r>
        <w:rPr>
          <w:rFonts w:ascii="Times New Roman" w:hAnsi="Times New Roman"/>
          <w:b w:val="false"/>
          <w:i w:val="false"/>
          <w:color w:val="000000"/>
          <w:sz w:val="22"/>
        </w:rPr>
        <w:t>Ginseng dealers shall transact business only at the location specified on the dealer’s permit or at the place of business specified on the permit of any other dealer who holds a dealer’s permit in Iowa and is involved in the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78.7(2)</w:t>
      </w:r>
      <w:r>
        <w:rPr>
          <w:rFonts w:ascii="Times New Roman" w:hAnsi="Times New Roman"/>
          <w:b w:val="false"/>
          <w:i w:val="false"/>
          <w:color w:val="000000"/>
          <w:sz w:val="22"/>
        </w:rPr>
        <w:t> </w:t>
      </w:r>
      <w:r>
        <w:rPr>
          <w:rFonts w:ascii="Times New Roman" w:hAnsi="Times New Roman"/>
          <w:b w:val="false"/>
          <w:i/>
          <w:color w:val="000000"/>
          <w:sz w:val="22"/>
        </w:rPr>
        <w:t xml:space="preserve">Location permits.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dealer who wishes to transact business at a location other than the locations provided for in </w:t>
      </w:r>
      <w:hyperlink r:id="rId4">
        <w:r>
          <w:rPr>
            <w:rStyle w:val="Hyperlink"/>
            <w:rFonts w:ascii="Times New Roman" w:hAnsi="Times New Roman"/>
            <w:b w:val="false"/>
            <w:i w:val="false"/>
            <w:color w:val="000000"/>
            <w:sz w:val="22"/>
          </w:rPr>
          <w:t>78.8(1)</w:t>
        </w:r>
      </w:hyperlink>
      <w:r>
        <w:rPr>
          <w:rFonts w:ascii="Times New Roman" w:hAnsi="Times New Roman"/>
          <w:b w:val="false"/>
          <w:i w:val="false"/>
          <w:color w:val="000000"/>
          <w:sz w:val="22"/>
        </w:rPr>
        <w:t xml:space="preserve"> may obtain a location permit from the department. Each location permit shall be valid only for the location specified, on the dates and times listed on the location permit, and shall entitle the dealer to operate at that location in addition to the location specified on the corresponding dealer’s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shall, upon application and payment of the applicable location permit fee, furnish a location permit to the dealer. The location permit fee shall be $5 for residents and $50 for nonresidents plus any charge associated with the department’s electronic licensing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78.7(3)</w:t>
      </w:r>
      <w:r>
        <w:rPr>
          <w:rFonts w:ascii="Times New Roman" w:hAnsi="Times New Roman"/>
          <w:b w:val="false"/>
          <w:i w:val="false"/>
          <w:color w:val="000000"/>
          <w:sz w:val="22"/>
        </w:rPr>
        <w:t> </w:t>
      </w:r>
      <w:r>
        <w:rPr>
          <w:rFonts w:ascii="Times New Roman" w:hAnsi="Times New Roman"/>
          <w:b w:val="false"/>
          <w:i/>
          <w:color w:val="000000"/>
          <w:sz w:val="22"/>
        </w:rPr>
        <w:t xml:space="preserve">Duplicate location permits. </w:t>
      </w:r>
      <w:r>
        <w:rPr>
          <w:rFonts w:ascii="Times New Roman" w:hAnsi="Times New Roman"/>
          <w:b w:val="false"/>
          <w:i w:val="false"/>
          <w:color w:val="000000"/>
          <w:sz w:val="22"/>
        </w:rPr>
        <w:t>A duplicate location permit may be issued upon application to the department and the payment of a $4.50 fee plus any charge associated with the department’s electronic licensing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0268D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71.78.8.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