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571—78.6</w:t>
      </w:r>
      <w:r>
        <w:rPr>
          <w:rFonts w:ascii="Times New Roman" w:hAnsi="Times New Roman"/>
          <w:b/>
          <w:i w:val="false"/>
          <w:color w:val="000000"/>
          <w:sz w:val="22"/>
        </w:rPr>
        <w:t xml:space="preserve">(456A) </w:t>
      </w:r>
      <w:r>
        <w:rPr>
          <w:rFonts w:ascii="Times New Roman" w:hAnsi="Times New Roman"/>
          <w:b/>
          <w:i w:val="false"/>
          <w:color w:val="000000"/>
          <w:sz w:val="22"/>
        </w:rPr>
        <w:t xml:space="preserve">Dealers—recordkeeping.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78.6(1)</w:t>
      </w:r>
      <w:r>
        <w:rPr>
          <w:rFonts w:ascii="Times New Roman" w:hAnsi="Times New Roman"/>
          <w:b w:val="false"/>
          <w:i w:val="false"/>
          <w:color w:val="000000"/>
          <w:sz w:val="22"/>
        </w:rPr>
        <w:t> </w:t>
      </w:r>
      <w:r>
        <w:rPr>
          <w:rFonts w:ascii="Times New Roman" w:hAnsi="Times New Roman"/>
          <w:b w:val="false"/>
          <w:i/>
          <w:color w:val="000000"/>
          <w:sz w:val="22"/>
        </w:rPr>
        <w:t xml:space="preserve">Contents of records. </w:t>
      </w:r>
      <w:r>
        <w:rPr>
          <w:rFonts w:ascii="Times New Roman" w:hAnsi="Times New Roman"/>
          <w:b w:val="false"/>
          <w:i w:val="false"/>
          <w:color w:val="000000"/>
          <w:sz w:val="22"/>
        </w:rPr>
        <w:t>Each permitted ginseng dealer shall keep individual, accurate, legible and complete records of each ginseng transaction. The records shall be on forms prescribed by the department and completed in their entirety by the ginseng dealer or a representative of the department. The department will provide a reasonable number of these forms at no cost to the dealer. The dealer’s record of each ginseng transaction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buyer or seller, whichever is applicable for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harvester’s permit number or dealer’s permit number if a dealer is buying ginseng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ginseng transacted, including the actual weight of the ginseng transacted and whether the ginseng is dried or green. If the ginseng is green ginseng, the weight shall also be converted to the dried weight of ginseng according to the ratio in </w:t>
      </w:r>
      <w:hyperlink r:id="rId4">
        <w:r>
          <w:rPr>
            <w:rStyle w:val="Hyperlink"/>
            <w:rFonts w:ascii="Times New Roman" w:hAnsi="Times New Roman"/>
            <w:b w:val="false"/>
            <w:i w:val="false"/>
            <w:color w:val="000000"/>
            <w:sz w:val="22"/>
          </w:rPr>
          <w:t>571—78.3</w:t>
        </w:r>
      </w:hyperlink>
      <w:r>
        <w:rPr>
          <w:rFonts w:ascii="Times New Roman" w:hAnsi="Times New Roman"/>
          <w:b w:val="false"/>
          <w:i w:val="false"/>
          <w:color w:val="000000"/>
          <w:sz w:val="22"/>
        </w:rPr>
        <w:t>(456A);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of the county or counties where the ginseng was harvested if the ginseng is purchased from a harvester;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ginseng’s certificate of origin, signed by the seller,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year of harvest for the ginseng bought or sold;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additional information as requested by the department and included on the department’s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78.6(2)</w:t>
      </w:r>
      <w:r>
        <w:rPr>
          <w:rFonts w:ascii="Times New Roman" w:hAnsi="Times New Roman"/>
          <w:b w:val="false"/>
          <w:i w:val="false"/>
          <w:color w:val="000000"/>
          <w:sz w:val="22"/>
        </w:rPr>
        <w:t> </w:t>
      </w:r>
      <w:r>
        <w:rPr>
          <w:rFonts w:ascii="Times New Roman" w:hAnsi="Times New Roman"/>
          <w:b w:val="false"/>
          <w:i/>
          <w:color w:val="000000"/>
          <w:sz w:val="22"/>
        </w:rPr>
        <w:t xml:space="preserve">Monthly reporting. </w:t>
      </w:r>
      <w:r>
        <w:rPr>
          <w:rFonts w:ascii="Times New Roman" w:hAnsi="Times New Roman"/>
          <w:b w:val="false"/>
          <w:i w:val="false"/>
          <w:color w:val="000000"/>
          <w:sz w:val="22"/>
        </w:rPr>
        <w:t xml:space="preserve">Each dealer shall submit to the department copies of all records required by </w:t>
      </w:r>
      <w:hyperlink r:id="rId5">
        <w:r>
          <w:rPr>
            <w:rStyle w:val="Hyperlink"/>
            <w:rFonts w:ascii="Times New Roman" w:hAnsi="Times New Roman"/>
            <w:b w:val="false"/>
            <w:i w:val="false"/>
            <w:color w:val="000000"/>
            <w:sz w:val="22"/>
          </w:rPr>
          <w:t>78.7(1)</w:t>
        </w:r>
      </w:hyperlink>
      <w:r>
        <w:rPr>
          <w:rFonts w:ascii="Times New Roman" w:hAnsi="Times New Roman"/>
          <w:b w:val="false"/>
          <w:i w:val="false"/>
          <w:color w:val="000000"/>
          <w:sz w:val="22"/>
        </w:rPr>
        <w:t xml:space="preserve"> on a monthly basis, no later than the fifteenth day of each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78.6(3)</w:t>
      </w:r>
      <w:r>
        <w:rPr>
          <w:rFonts w:ascii="Times New Roman" w:hAnsi="Times New Roman"/>
          <w:b w:val="false"/>
          <w:i w:val="false"/>
          <w:color w:val="000000"/>
          <w:sz w:val="22"/>
        </w:rPr>
        <w:t> </w:t>
      </w:r>
      <w:r>
        <w:rPr>
          <w:rFonts w:ascii="Times New Roman" w:hAnsi="Times New Roman"/>
          <w:b w:val="false"/>
          <w:i/>
          <w:color w:val="000000"/>
          <w:sz w:val="22"/>
        </w:rPr>
        <w:t xml:space="preserve">Carryover report. </w:t>
      </w:r>
      <w:r>
        <w:rPr>
          <w:rFonts w:ascii="Times New Roman" w:hAnsi="Times New Roman"/>
          <w:b w:val="false"/>
          <w:i w:val="false"/>
          <w:color w:val="000000"/>
          <w:sz w:val="22"/>
        </w:rPr>
        <w:t>The dealer must complete an inventory of any roots remaining in the dealer’s possession in Iowa as of April 1, including the roots’ certified weight and designation as either wild, wild simulated, or cultivated ginseng, or a statement that the dealer has no roots remaining in the dealer’s possession. Any certification regarding a root’s weight as required by this subrule shall be completed through the department’s agent upon appointment. Any roots carried over from one license year to the next shall be documented on the following license year’s reports.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71.78.3.pdf" Type="http://schemas.openxmlformats.org/officeDocument/2006/relationships/hyperlink" Id="rId4"/>
    <Relationship TargetMode="External" Target="https://www.legis.iowa.gov/docs/iac/rule/571.78.7.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