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571—78.17</w:t>
      </w:r>
      <w:r>
        <w:rPr>
          <w:rFonts w:ascii="Times New Roman" w:hAnsi="Times New Roman"/>
          <w:b/>
          <w:i w:val="false"/>
          <w:color w:val="000000"/>
          <w:sz w:val="22"/>
        </w:rPr>
        <w:t xml:space="preserve">(456A) </w:t>
      </w:r>
      <w:r>
        <w:rPr>
          <w:rFonts w:ascii="Times New Roman" w:hAnsi="Times New Roman"/>
          <w:b/>
          <w:i w:val="false"/>
          <w:color w:val="000000"/>
          <w:sz w:val="22"/>
        </w:rPr>
        <w:t xml:space="preserve">Reciprocity. </w:t>
      </w:r>
      <w:r>
        <w:rPr>
          <w:rFonts w:ascii="Times New Roman" w:hAnsi="Times New Roman"/>
          <w:b w:val="false"/>
          <w:i w:val="false"/>
          <w:color w:val="000000"/>
          <w:sz w:val="22"/>
        </w:rPr>
        <w:t>Nonresident harvesters, growers and dealers from states that regulate American Ginseng by allowing the harvesting, cultivating and dealing in American Ginseng but that prohibit Iowa harvesters, growers and dealers to lawfully operate in those states are not eligible for permits issued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