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571—78.14</w:t>
      </w:r>
      <w:r>
        <w:rPr>
          <w:rFonts w:ascii="Times New Roman" w:hAnsi="Times New Roman"/>
          <w:b/>
          <w:i w:val="false"/>
          <w:color w:val="000000"/>
          <w:sz w:val="22"/>
        </w:rPr>
        <w:t xml:space="preserve">(456A) </w:t>
      </w:r>
      <w:r>
        <w:rPr>
          <w:rFonts w:ascii="Times New Roman" w:hAnsi="Times New Roman"/>
          <w:b/>
          <w:i w:val="false"/>
          <w:color w:val="000000"/>
          <w:sz w:val="22"/>
        </w:rPr>
        <w:t xml:space="preserve">Possession.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val="false"/>
          <w:color w:val="000000"/>
          <w:sz w:val="22"/>
        </w:rPr>
        <w:t>When a person is in possession of ginseng, including the shipping or transporting of ginseng, if one or more parts of ginseng are deemed unlawful, the entire contents of possession shall be deemed unlawful.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val="false"/>
          <w:color w:val="000000"/>
          <w:sz w:val="22"/>
        </w:rPr>
        <w:t>Any person or dealer who has in possession any ginseng or parts thereof shall upon request by the department, director, any officer appointed by the department, or peace officer show the ginseng to the department, director, or officer; a refusal to do so is a violation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