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571—78.11</w:t>
      </w:r>
      <w:r>
        <w:rPr>
          <w:rFonts w:ascii="Times New Roman" w:hAnsi="Times New Roman"/>
          <w:b/>
          <w:i w:val="false"/>
          <w:color w:val="000000"/>
          <w:sz w:val="22"/>
        </w:rPr>
        <w:t xml:space="preserve">(456A) </w:t>
      </w:r>
      <w:r>
        <w:rPr>
          <w:rFonts w:ascii="Times New Roman" w:hAnsi="Times New Roman"/>
          <w:b/>
          <w:i w:val="false"/>
          <w:color w:val="000000"/>
          <w:sz w:val="22"/>
        </w:rPr>
        <w:t xml:space="preserve">Additional restrictions and prohibitions for ginseng.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All persons harvesting wild or wild simulated ginseng shall plant all seeds collected from such plants within 100 feet of the parent plant. Seeds collected for planting pursuant to this subrule should be collected from the fruit by gently pressing the fruit of the ginseng.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A person shall use no tool other than the person’s finger to plant ginseng seeds and shall not push seeds to a depth greater than one inch into the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or transport seeds of wild or wild simulated ginseng more than 100 feet from the site of the parent plant.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