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Certain species of nongame shall not be protected.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Birds.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European starling (</w:t>
      </w:r>
      <w:r>
        <w:rPr>
          <w:rFonts w:ascii="Times New Roman" w:hAnsi="Times New Roman"/>
          <w:b w:val="false"/>
          <w:i/>
          <w:color w:val="000000"/>
          <w:sz w:val="22"/>
        </w:rPr>
        <w:t>Sturnus vulgaris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and the house sparrow (</w:t>
      </w:r>
      <w:r>
        <w:rPr>
          <w:rFonts w:ascii="Times New Roman" w:hAnsi="Times New Roman"/>
          <w:b w:val="false"/>
          <w:i/>
          <w:color w:val="000000"/>
          <w:sz w:val="22"/>
        </w:rPr>
        <w:t>Passer domesticus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shall not be protected.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Reptiles.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Common garter snake (</w:t>
      </w:r>
      <w:r>
        <w:rPr>
          <w:rFonts w:ascii="Times New Roman" w:hAnsi="Times New Roman"/>
          <w:b w:val="false"/>
          <w:i/>
          <w:color w:val="000000"/>
          <w:sz w:val="22"/>
        </w:rPr>
        <w:t>Thamnophis sirtalis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Timber rattlesnake (</w:t>
      </w:r>
      <w:r>
        <w:rPr>
          <w:rFonts w:ascii="Times New Roman" w:hAnsi="Times New Roman"/>
          <w:b w:val="false"/>
          <w:i/>
          <w:color w:val="000000"/>
          <w:sz w:val="22"/>
        </w:rPr>
        <w:t>Crotalus horridus</w:t>
      </w:r>
      <w:r>
        <w:rPr>
          <w:rFonts w:ascii="Times New Roman" w:hAnsi="Times New Roman"/>
          <w:b w:val="false"/>
          <w:i w:val="false"/>
          <w:color w:val="000000"/>
          <w:sz w:val="22"/>
        </w:rPr>
        <w:t>) within 50 yards of houses actively occupied by humans.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481A.39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1A.38.pdf" Type="http://schemas.openxmlformats.org/officeDocument/2006/relationships/hyperlink" Id="rId4"/>
    <Relationship TargetMode="External" Target="https://www.legis.iowa.gov/docs/ico/chapter/481A.39.pdf" Type="http://schemas.openxmlformats.org/officeDocument/2006/relationships/hyperlink" Id="rId5"/>
    <Relationship TargetMode="External" Target="https://www.legis.iowa.gov/docs/ico/chapter/481A.4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