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571—60.3</w:t>
      </w:r>
      <w:r>
        <w:rPr>
          <w:rFonts w:ascii="Times New Roman" w:hAnsi="Times New Roman"/>
          <w:b/>
          <w:i w:val="false"/>
          <w:color w:val="000000"/>
          <w:sz w:val="22"/>
        </w:rPr>
        <w:t xml:space="preserve">(465C) </w:t>
      </w:r>
      <w:r>
        <w:rPr>
          <w:rFonts w:ascii="Times New Roman" w:hAnsi="Times New Roman"/>
          <w:b/>
          <w:i w:val="false"/>
          <w:color w:val="000000"/>
          <w:sz w:val="22"/>
        </w:rPr>
        <w:t xml:space="preserve">Management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and management. </w:t>
      </w:r>
      <w:r>
        <w:rPr>
          <w:rFonts w:ascii="Times New Roman" w:hAnsi="Times New Roman"/>
          <w:b w:val="false"/>
          <w:i w:val="false"/>
          <w:color w:val="000000"/>
          <w:sz w:val="22"/>
        </w:rPr>
        <w:t>The administrative and management authority for a preserve shall be agreed upon by the commission, the property owner, and the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color w:val="000000"/>
          <w:sz w:val="22"/>
        </w:rPr>
        <w:t xml:space="preserve">Management plan. </w:t>
      </w:r>
      <w:r>
        <w:rPr>
          <w:rFonts w:ascii="Times New Roman" w:hAnsi="Times New Roman"/>
          <w:b w:val="false"/>
          <w:i w:val="false"/>
          <w:color w:val="000000"/>
          <w:sz w:val="22"/>
        </w:rPr>
        <w:t>For each preserve, an authorized representative of the owner shall prepare a management plan in consultation with department staff. The management plan shall be consistent with the articles of dedication and shall include identification of uses of the preserve that are compatible and incompatible with its dedication as a preserve. The management plan shall be amended periodically, as appropriate, in response to new information. The management plan and amendments shall be submitted to the commission for approval. The department shall keep a copy of the current management plan. A management plan for a new preserve shall be submitted for approval by the commission in conjunction with approval of dedication of the preserve. Management plans for existing preserves shall be prepared and submitted for approval as resources are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0287D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