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571—16.7</w:t>
      </w:r>
      <w:r>
        <w:rPr>
          <w:rFonts w:ascii="Times New Roman" w:hAnsi="Times New Roman"/>
          <w:b/>
          <w:i w:val="false"/>
          <w:color w:val="000000"/>
          <w:sz w:val="22"/>
        </w:rPr>
        <w:t xml:space="preserve">(461A,462A) </w:t>
      </w:r>
      <w:r>
        <w:rPr>
          <w:rFonts w:ascii="Times New Roman" w:hAnsi="Times New Roman"/>
          <w:b/>
          <w:i w:val="false"/>
          <w:color w:val="000000"/>
          <w:sz w:val="22"/>
        </w:rPr>
        <w:t xml:space="preserve">Class IV permits for commercial docks. </w:t>
      </w:r>
      <w:r>
        <w:rPr>
          <w:rFonts w:ascii="Times New Roman" w:hAnsi="Times New Roman"/>
          <w:b w:val="false"/>
          <w:i w:val="false"/>
          <w:color w:val="000000"/>
          <w:sz w:val="22"/>
        </w:rPr>
        <w:t>In determining whether to issue a Class IV permit for a commercial dock or to condition the permit by denying an application in part, the department shall apply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IV permit shall require docks or hoists to be in compliance with requirements in rule </w:t>
      </w:r>
      <w:hyperlink r:id="rId4">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except as provided in rule </w:t>
      </w:r>
      <w:hyperlink r:id="rId5">
        <w:r>
          <w:rPr>
            <w:rStyle w:val="Hyperlink"/>
            <w:rFonts w:ascii="Times New Roman" w:hAnsi="Times New Roman"/>
            <w:b w:val="false"/>
            <w:i w:val="false"/>
            <w:color w:val="000000"/>
            <w:sz w:val="22"/>
          </w:rPr>
          <w:t>571—16.8(461A,462A)</w:t>
        </w:r>
      </w:hyperlink>
      <w:r>
        <w:rPr>
          <w:rFonts w:ascii="Times New Roman" w:hAnsi="Times New Roman"/>
          <w:b w:val="false"/>
          <w:i w:val="false"/>
          <w:color w:val="000000"/>
          <w:sz w:val="22"/>
        </w:rPr>
        <w:t>. Greater offsets may be required for new commercial docks or hoists if needed to minimize boat traffic and congestion that spills over in front of other shoreline property not owned or controlled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val="false"/>
          <w:color w:val="000000"/>
          <w:sz w:val="22"/>
        </w:rPr>
        <w:t>A commercial dock on a natural lake may be permitted to extend a maximum of 300 feet from the water’s edge. However, the applicant must provide justification for a length greater than 150 feet and demonstrate that there are no appropriate alternatives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val="false"/>
          <w:color w:val="000000"/>
          <w:sz w:val="22"/>
        </w:rPr>
        <w:t>The maximum number of hoists or slips authorized by a permit for a commercial dock is one hoist or slip for every ten feet of shoreline. This limit shall not apply where a business operated on the shoreline property primarily involves boat sales, rentals, storage, or other boat services. In calculating the hoist limit, courtesy hoists shall not be counted if they are provided without charge to boaters to temporarily moor their boats while they go ashore to access services at a business on the shoreline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16.7(4)</w:t>
      </w:r>
      <w:r>
        <w:rPr>
          <w:rFonts w:ascii="Times New Roman" w:hAnsi="Times New Roman"/>
          <w:b w:val="false"/>
          <w:i w:val="false"/>
          <w:color w:val="000000"/>
          <w:sz w:val="22"/>
        </w:rPr>
        <w:t> </w:t>
      </w:r>
      <w:r>
        <w:rPr>
          <w:rFonts w:ascii="Times New Roman" w:hAnsi="Times New Roman"/>
          <w:b w:val="false"/>
          <w:i w:val="false"/>
          <w:color w:val="000000"/>
          <w:sz w:val="22"/>
        </w:rPr>
        <w:t>A permit for a commercial dock shall not be issued or the permit will include restrictions as needed to prevent uses of the dock that would be incompatible with zoning of the shoreline property from which the dock extends (including special use exceptions or variances recognized by the local governing body). However, a change in local zoning ordinance or termination of a local variance or special use exception shall not automatically be a ground for the department to revoke or refuse to renew a dock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16.7(5)</w:t>
      </w:r>
      <w:r>
        <w:rPr>
          <w:rFonts w:ascii="Times New Roman" w:hAnsi="Times New Roman"/>
          <w:b w:val="false"/>
          <w:i w:val="false"/>
          <w:color w:val="000000"/>
          <w:sz w:val="22"/>
        </w:rPr>
        <w:t> </w:t>
      </w:r>
      <w:r>
        <w:rPr>
          <w:rFonts w:ascii="Times New Roman" w:hAnsi="Times New Roman"/>
          <w:b w:val="false"/>
          <w:i w:val="false"/>
          <w:color w:val="000000"/>
          <w:sz w:val="22"/>
        </w:rPr>
        <w:t>Each mooring site (slip) shall be marked by an identifying number or letter, in block style at least 3 inches high, of contrasting color, and located uniformly near the vessel’s bow.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0265D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16.3.pdf" Type="http://schemas.openxmlformats.org/officeDocument/2006/relationships/hyperlink" Id="rId4"/>
    <Relationship TargetMode="External" Target="https://www.legis.iowa.gov/docs/iac/rule/571.16.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