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571—116.6</w:t>
      </w:r>
      <w:r>
        <w:rPr>
          <w:rFonts w:ascii="Times New Roman" w:hAnsi="Times New Roman"/>
          <w:b/>
          <w:i w:val="false"/>
          <w:color w:val="000000"/>
          <w:sz w:val="22"/>
        </w:rPr>
        <w:t xml:space="preserve">(483A) </w:t>
      </w:r>
      <w:r>
        <w:rPr>
          <w:rFonts w:ascii="Times New Roman" w:hAnsi="Times New Roman"/>
          <w:b/>
          <w:i w:val="false"/>
          <w:color w:val="000000"/>
          <w:sz w:val="22"/>
        </w:rPr>
        <w:t xml:space="preserve">Partnerships with other organizations. </w:t>
      </w:r>
      <w:r>
        <w:rPr>
          <w:rFonts w:ascii="Times New Roman" w:hAnsi="Times New Roman"/>
          <w:b w:val="false"/>
          <w:i w:val="false"/>
          <w:color w:val="000000"/>
          <w:sz w:val="22"/>
        </w:rPr>
        <w:t>The department, at its own discretion, may enter into agreements with other organizations for the purpose of expanding the deer donation program. The department may include the offer of matching grants to pay for deer processing to organizations that acquire funding from sources other than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