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571—116.5</w:t>
      </w:r>
      <w:r>
        <w:rPr>
          <w:rFonts w:ascii="Times New Roman" w:hAnsi="Times New Roman"/>
          <w:b/>
          <w:i w:val="false"/>
          <w:color w:val="000000"/>
          <w:sz w:val="22"/>
        </w:rPr>
        <w:t xml:space="preserve">(483A) </w:t>
      </w:r>
      <w:r>
        <w:rPr>
          <w:rFonts w:ascii="Times New Roman" w:hAnsi="Times New Roman"/>
          <w:b/>
          <w:i w:val="false"/>
          <w:color w:val="000000"/>
          <w:sz w:val="22"/>
        </w:rPr>
        <w:t xml:space="preserve">Duties of the department. </w:t>
      </w:r>
      <w:r>
        <w:rPr>
          <w:rFonts w:ascii="Times New Roman" w:hAnsi="Times New Roman"/>
          <w:b w:val="false"/>
          <w:i w:val="false"/>
          <w:color w:val="000000"/>
          <w:sz w:val="22"/>
        </w:rPr>
        <w:t>During periods of excessive deer populations, the department shall promote the harvest of deer by hunters and the donation of deer at meat processors participating in HUSH. During periods of nonexcessive deer populations, HUSH may continue with less emphasis on promotion to hunters. The department shall enlist as many meat processors as available to participate in HUSH and shall enter into uniform agreements with them. The department shall contract with the Food Bank of Iowa and pay a per-deer rate for administrative services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0286D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