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571—116.4</w:t>
      </w:r>
      <w:r>
        <w:rPr>
          <w:rFonts w:ascii="Times New Roman" w:hAnsi="Times New Roman"/>
          <w:b/>
          <w:i w:val="false"/>
          <w:color w:val="000000"/>
          <w:sz w:val="22"/>
        </w:rPr>
        <w:t xml:space="preserve">(483A) </w:t>
      </w:r>
      <w:r>
        <w:rPr>
          <w:rFonts w:ascii="Times New Roman" w:hAnsi="Times New Roman"/>
          <w:b/>
          <w:i w:val="false"/>
          <w:color w:val="000000"/>
          <w:sz w:val="22"/>
        </w:rPr>
        <w:t xml:space="preserve">HUSH council. </w:t>
      </w:r>
      <w:r>
        <w:rPr>
          <w:rFonts w:ascii="Times New Roman" w:hAnsi="Times New Roman"/>
          <w:b w:val="false"/>
          <w:i w:val="false"/>
          <w:color w:val="000000"/>
          <w:sz w:val="22"/>
        </w:rPr>
        <w:t>There is hereby created a HUSH council. Members shall serve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HUSH council shall include the following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HUSH coordinator, who shall serve as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additional department representative designated by the department’s wildlife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Food Bank of Iowa appointed by its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set a fair market price, the council shall consider prices for similar services paid by retail customers in Iowa and nearby states and shall recommend to the department an annual per-deer processing payment to be made to meat processors.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shall recommend to the department an annual per-deer administrative payment to be made to the Food Bank of Iowa. The Food Bank of Iowa shall provide information to assist in this determination but shall not participate in any vote of the council regarding the recommendation of the annual per-deer administrative payment to the Food Bank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shall make recommendations to the department to resolve conflicts or disputes in the operation of the HUSH program as brought to it by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 shall adopt standards for participating lockers to meet in terms of their record of violations of rules of the bureau of meat and poultry inspection and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council shall advise the department in the administration of HUSH.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HUSH coordinator shall convene the council as needed to conduct business. A majority vote shall be required for action or decision by the council. The chief of the department’s wildlife bureau shall have the right to overrule the council for cause and shall provide the council with justification for the reasons. A quorum to conduct business shall consist of three council members, one of whom shall be the HUSH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