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571—116.3</w:t>
      </w:r>
      <w:r>
        <w:rPr>
          <w:rFonts w:ascii="Times New Roman" w:hAnsi="Times New Roman"/>
          <w:b/>
          <w:i w:val="false"/>
          <w:color w:val="000000"/>
          <w:sz w:val="22"/>
        </w:rPr>
        <w:t xml:space="preserve">(483A) </w:t>
      </w:r>
      <w:r>
        <w:rPr>
          <w:rFonts w:ascii="Times New Roman" w:hAnsi="Times New Roman"/>
          <w:b/>
          <w:i w:val="false"/>
          <w:color w:val="000000"/>
          <w:sz w:val="22"/>
        </w:rPr>
        <w:t xml:space="preserve">Restrictions. </w:t>
      </w:r>
      <w:r>
        <w:rPr>
          <w:rFonts w:ascii="Times New Roman" w:hAnsi="Times New Roman"/>
          <w:b w:val="false"/>
          <w:i w:val="false"/>
          <w:color w:val="000000"/>
          <w:sz w:val="22"/>
        </w:rPr>
        <w:t>Deer is the only species of wildlife that shall be covered by the HUSH program. The entire deer carcass must be donated, but the hunter may keep the antlers, head and cape.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