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571—113.4</w:t>
      </w:r>
      <w:r>
        <w:rPr>
          <w:rFonts w:ascii="Times New Roman" w:hAnsi="Times New Roman"/>
          <w:b/>
          <w:i w:val="false"/>
          <w:color w:val="000000"/>
          <w:sz w:val="22"/>
        </w:rPr>
        <w:t xml:space="preserve">(481A) </w:t>
      </w:r>
      <w:r>
        <w:rPr>
          <w:rFonts w:ascii="Times New Roman" w:hAnsi="Times New Roman"/>
          <w:b/>
          <w:i w:val="false"/>
          <w:color w:val="000000"/>
          <w:sz w:val="22"/>
        </w:rPr>
        <w:t xml:space="preserve">Assessment. </w:t>
      </w:r>
      <w:r>
        <w:rPr>
          <w:rFonts w:ascii="Times New Roman" w:hAnsi="Times New Roman"/>
          <w:b w:val="false"/>
          <w:i w:val="false"/>
          <w:color w:val="000000"/>
          <w:sz w:val="22"/>
        </w:rPr>
        <w:t>When wild animals are destroyed or injured by an identifiable source of water pollution, the degree and value of the losses shall be assessed by collecting, compiling, and analyzing relevant information, statistics, or data through prescribed methodologies to determine damages,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For species other than fish, the professional judgment of fish and wildlife staff and available literature and guidance normally relied on in the fish and wildlife professions may be used to assess the injuries.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113.4(2)</w:t>
      </w:r>
      <w:r>
        <w:rPr>
          <w:rFonts w:ascii="Times New Roman" w:hAnsi="Times New Roman"/>
          <w:b w:val="false"/>
          <w:i w:val="false"/>
          <w:color w:val="000000"/>
          <w:sz w:val="22"/>
        </w:rPr>
        <w:t> </w:t>
      </w:r>
      <w:r>
        <w:rPr>
          <w:rFonts w:ascii="Times New Roman" w:hAnsi="Times New Roman"/>
          <w:b w:val="false"/>
          <w:i/>
          <w:color w:val="000000"/>
          <w:sz w:val="22"/>
        </w:rPr>
        <w:t xml:space="preserve">Fish loss. </w:t>
      </w:r>
      <w:r>
        <w:rPr>
          <w:rFonts w:ascii="Times New Roman" w:hAnsi="Times New Roman"/>
          <w:b w:val="false"/>
          <w:i w:val="false"/>
          <w:color w:val="000000"/>
          <w:sz w:val="22"/>
        </w:rPr>
        <w:t>Assessment of damages for fish kills shall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Normally, investigators will follow the methods prescribed by AFS to determine, by species and size, numbers of fish 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periods of ice cover, where local conditions prevent using the methods in </w:t>
      </w:r>
      <w:hyperlink r:id="rId4">
        <w:r>
          <w:rPr>
            <w:rStyle w:val="Hyperlink"/>
            <w:rFonts w:ascii="Times New Roman" w:hAnsi="Times New Roman"/>
            <w:b w:val="false"/>
            <w:i w:val="false"/>
            <w:color w:val="000000"/>
            <w:sz w:val="22"/>
          </w:rPr>
          <w:t>113.4(2)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in other appropriate circumstances; for example, when the resources are known to have been diminished by prior incidents, investigators will utilize the best information available to determine, by species and size, numbers of fish killed. Information may include existing or prior data on population levels in the affected water body or a nearby water body with similar characteristics, including any historical fish kill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monetary valuation of fish shall be the replacement values as published in AFS for all fish lost, except the following: channel catfish, flathead catfish, blue catfish, northern pike, muskellunge, northern pike/muskellunge hybrid, rainbow trout, brown trout, brook trout, white bass, yellow bass, white bass/striped bass hybrid, largemouth bass, smallmouth bass, spotted bass, crappie, rock bass, bluegill, redear sunfish, warmouth, pumpkinseed, freshwater drum, yellow perch, walleye, sauger and walleye/sauger hybrid. The value of these fish shall be $15 each unless AFS establishes a higher value. Notwithstanding the above, the value of each fish classified by the department as an endangered or threatened species shall be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value of lost services to the public shall be the number of fishing trips lost over the period of the resource loss as determined through local creel survey information or through interpolation from the most recent statewide creel survey. Each trip shall be valued at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cost of the investigation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Salaries plus overhead of staff, including support staff, involved in investigating the fish kill and performing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meals and lodging of staff while they are in the field conducting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Mileage valued at the current rate established pursuant to Iowa Code section </w:t>
      </w:r>
      <w:hyperlink r:id="rId5">
        <w:r>
          <w:rPr>
            <w:rStyle w:val="Hyperlink"/>
            <w:rFonts w:ascii="Times New Roman" w:hAnsi="Times New Roman"/>
            <w:b w:val="false"/>
            <w:i w:val="false"/>
            <w:color w:val="000000"/>
            <w:sz w:val="22"/>
          </w:rPr>
          <w:t>8A.363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borne by the department associated with containment or cleanup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costs directly associated with the investigation and assessment.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71.113.4.pdf" Type="http://schemas.openxmlformats.org/officeDocument/2006/relationships/hyperlink" Id="rId4"/>
    <Relationship TargetMode="External" Target="https://www.legis.iowa.gov/docs/ico/chapter/8A.36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