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571—113.3</w:t>
      </w:r>
      <w:r>
        <w:rPr>
          <w:rFonts w:ascii="Times New Roman" w:hAnsi="Times New Roman"/>
          <w:b/>
          <w:i w:val="false"/>
          <w:color w:val="000000"/>
          <w:sz w:val="22"/>
        </w:rPr>
        <w:t xml:space="preserve">(481A) </w:t>
      </w:r>
      <w:r>
        <w:rPr>
          <w:rFonts w:ascii="Times New Roman" w:hAnsi="Times New Roman"/>
          <w:b/>
          <w:i w:val="false"/>
          <w:color w:val="000000"/>
          <w:sz w:val="22"/>
        </w:rPr>
        <w:t xml:space="preserve">Liability to the state. </w:t>
      </w:r>
      <w:r>
        <w:rPr>
          <w:rFonts w:ascii="Times New Roman" w:hAnsi="Times New Roman"/>
          <w:b w:val="false"/>
          <w:i w:val="false"/>
          <w:color w:val="000000"/>
          <w:sz w:val="22"/>
        </w:rPr>
        <w:t xml:space="preserve">Persons who cause by water pollution the destruction of or injury to wild animals of the state shall be liable to the state as provided in Iowa Code section </w:t>
      </w:r>
      <w:hyperlink r:id="rId4">
        <w:r>
          <w:rPr>
            <w:rStyle w:val="Hyperlink"/>
            <w:rFonts w:ascii="Times New Roman" w:hAnsi="Times New Roman"/>
            <w:b w:val="false"/>
            <w:i w:val="false"/>
            <w:color w:val="000000"/>
            <w:sz w:val="22"/>
          </w:rPr>
          <w:t>481A.151</w:t>
        </w:r>
      </w:hyperlink>
      <w:r>
        <w:rPr>
          <w:rFonts w:ascii="Times New Roman" w:hAnsi="Times New Roman"/>
          <w:b w:val="false"/>
          <w:i w:val="false"/>
          <w:color w:val="000000"/>
          <w:sz w:val="22"/>
        </w:rPr>
        <w:t xml:space="preserve">. These rules establish the methodologies and criteria for evaluating the extent and value of the destruction or injury and establish the methods of compensation. If the person and the department cannot agree to the proper resolution of a particular case, the issues of liability, damage and compensation will be established through contested case proceedings as provided by </w:t>
      </w:r>
      <w:hyperlink r:id="rId5">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1A.151.pdf" Type="http://schemas.openxmlformats.org/officeDocument/2006/relationships/hyperlink" Id="rId4"/>
    <Relationship TargetMode="External" Target="https://www.legis.iowa.gov/docs/iac/chapter/571.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