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571—113.2</w:t>
      </w:r>
      <w:r>
        <w:rPr>
          <w:rFonts w:ascii="Times New Roman" w:hAnsi="Times New Roman"/>
          <w:b/>
          <w:i w:val="false"/>
          <w:color w:val="000000"/>
          <w:sz w:val="22"/>
        </w:rPr>
        <w:t xml:space="preserve">(481A)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“AFS”</w:t>
      </w:r>
      <w:r>
        <w:rPr>
          <w:rFonts w:ascii="Times New Roman" w:hAnsi="Times New Roman"/>
          <w:b w:val="false"/>
          <w:i w:val="false"/>
          <w:color w:val="000000"/>
          <w:sz w:val="22"/>
        </w:rPr>
        <w:t> </w:t>
      </w:r>
      <w:r>
        <w:rPr>
          <w:rFonts w:ascii="Times New Roman" w:hAnsi="Times New Roman"/>
          <w:b w:val="false"/>
          <w:i w:val="false"/>
          <w:color w:val="000000"/>
          <w:sz w:val="22"/>
        </w:rPr>
        <w:t>means the 2017 Special Publication 35, “Investigation and Monetary Values of Fish and Freshwater Mollusk Kills,” published by the American Fisheries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“Damages”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costs of restoration, rehabilitation, and replacement of resources or acquisition of equivalent resources as determined in accordance with this chapter; the reasonable and necessary costs of the assessment, to include the cost of performing the assessment and administrative costs and expenses necessary for, and incidental to, the assessment; lost services to the public; and, in the event the damages claim is not resolved within six months after the incident leading to the damages, interest at the current rate published in the Iowa Administrative Bulletin by the department of revenue pursuant to Iowa Code section </w:t>
      </w:r>
      <w:hyperlink r:id="rId4">
        <w:r>
          <w:rPr>
            <w:rStyle w:val="Hyperlink"/>
            <w:rFonts w:ascii="Times New Roman" w:hAnsi="Times New Roman"/>
            <w:b w:val="false"/>
            <w:i w:val="false"/>
            <w:color w:val="000000"/>
            <w:sz w:val="22"/>
          </w:rPr>
          <w:t>421.7</w:t>
        </w:r>
      </w:hyperlink>
      <w:r>
        <w:rPr>
          <w:rFonts w:ascii="Times New Roman" w:hAnsi="Times New Roman"/>
          <w:b w:val="false"/>
          <w:i w:val="false"/>
          <w:color w:val="000000"/>
          <w:sz w:val="22"/>
        </w:rPr>
        <w:t>. The interest amount shall be computed from the date the amount of the claim is confirmed by a final ruling of the commission in a contested case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“Priority watershed”</w:t>
      </w:r>
      <w:r>
        <w:rPr>
          <w:rFonts w:ascii="Times New Roman" w:hAnsi="Times New Roman"/>
          <w:b w:val="false"/>
          <w:i w:val="false"/>
          <w:color w:val="000000"/>
          <w:sz w:val="22"/>
        </w:rPr>
        <w:t> </w:t>
      </w:r>
      <w:r>
        <w:rPr>
          <w:rFonts w:ascii="Times New Roman" w:hAnsi="Times New Roman"/>
          <w:b w:val="false"/>
          <w:i w:val="false"/>
          <w:color w:val="000000"/>
          <w:sz w:val="22"/>
        </w:rPr>
        <w:t>means a watershed for which: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department of natural resources, in partnership with other state or federal agencies, the agriculture community or nonprofit organizations, creates and implements plans, programs or projects to sustain and enhance watershed and stream functions;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principal objective is to manage wild animals and their habitats.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“Surface water resources”</w:t>
      </w:r>
      <w:r>
        <w:rPr>
          <w:rFonts w:ascii="Times New Roman" w:hAnsi="Times New Roman"/>
          <w:b w:val="false"/>
          <w:i w:val="false"/>
          <w:color w:val="000000"/>
          <w:sz w:val="22"/>
        </w:rPr>
        <w:t> </w:t>
      </w:r>
      <w:r>
        <w:rPr>
          <w:rFonts w:ascii="Times New Roman" w:hAnsi="Times New Roman"/>
          <w:b w:val="false"/>
          <w:i w:val="false"/>
          <w:color w:val="000000"/>
          <w:sz w:val="22"/>
        </w:rPr>
        <w:t>means the waters of the state, including the sediments suspended in water or lying on the bank, bed, or shoreline. This term does not include groundwater or water or sediments in ponds, lakes, or reservoirs designed for waste treatment under applicable laws regulating waste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“Wild animals”</w:t>
      </w:r>
      <w:r>
        <w:rPr>
          <w:rFonts w:ascii="Times New Roman" w:hAnsi="Times New Roman"/>
          <w:b w:val="false"/>
          <w:i w:val="false"/>
          <w:color w:val="000000"/>
          <w:sz w:val="22"/>
        </w:rPr>
        <w:t> </w:t>
      </w:r>
      <w:r>
        <w:rPr>
          <w:rFonts w:ascii="Times New Roman" w:hAnsi="Times New Roman"/>
          <w:b w:val="false"/>
          <w:i w:val="false"/>
          <w:color w:val="000000"/>
          <w:sz w:val="22"/>
        </w:rPr>
        <w:t>means fish, wildlife and other biota belonging to, managed by, held in trust by, appertaining to, or otherwise controlled by the state of Iowa, the United States, or local government. Fish and wildlife include freshwater aquatic and terrestrial species; game, nongame, and commercial species; and threatened and endangered species. Other biota encompass shellfish and other living organisms not otherwise listed in this definition.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0285D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1.7.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