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571—112.9</w:t>
      </w:r>
      <w:r>
        <w:rPr>
          <w:rFonts w:ascii="Times New Roman" w:hAnsi="Times New Roman"/>
          <w:b/>
          <w:i w:val="false"/>
          <w:color w:val="000000"/>
          <w:sz w:val="22"/>
        </w:rPr>
        <w:t xml:space="preserve">(484B) </w:t>
      </w:r>
      <w:r>
        <w:rPr>
          <w:rFonts w:ascii="Times New Roman" w:hAnsi="Times New Roman"/>
          <w:b/>
          <w:i w:val="false"/>
          <w:color w:val="000000"/>
          <w:sz w:val="22"/>
        </w:rPr>
        <w:t xml:space="preserve">Processed game birds. </w:t>
      </w:r>
      <w:r>
        <w:rPr>
          <w:rFonts w:ascii="Times New Roman" w:hAnsi="Times New Roman"/>
          <w:b w:val="false"/>
          <w:i w:val="false"/>
          <w:color w:val="000000"/>
          <w:sz w:val="22"/>
        </w:rPr>
        <w:t>Registered hunting preserves may prepare game birds for hunters by cleaning, dressing, preserving, and packaging whole birds or bird parts. Packaging material shall be a see-through plastic bag. The plastic bag shall be sealed and the tag placed around the opening of the bag or attached to the bag in such a manner so that the tag number(s) is completely legible. The number of game birds or combination of bird parts shall correspond to the number of tags affixed to the clear plastic bag.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