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571—112.7</w:t>
      </w:r>
      <w:r>
        <w:rPr>
          <w:rFonts w:ascii="Times New Roman" w:hAnsi="Times New Roman"/>
          <w:b/>
          <w:i w:val="false"/>
          <w:color w:val="000000"/>
          <w:sz w:val="22"/>
        </w:rPr>
        <w:t xml:space="preserve">(484B) </w:t>
      </w:r>
      <w:r>
        <w:rPr>
          <w:rFonts w:ascii="Times New Roman" w:hAnsi="Times New Roman"/>
          <w:b/>
          <w:i w:val="false"/>
          <w:color w:val="000000"/>
          <w:sz w:val="22"/>
        </w:rPr>
        <w:t xml:space="preserve">Game bird transportation tags. </w:t>
      </w:r>
      <w:r>
        <w:rPr>
          <w:rFonts w:ascii="Times New Roman" w:hAnsi="Times New Roman"/>
          <w:b w:val="false"/>
          <w:i w:val="false"/>
          <w:color w:val="000000"/>
          <w:sz w:val="22"/>
        </w:rPr>
        <w:t>Tags shall be placed on a leg of all birds harvested on a registered hunting preserve prior to the bird being transported from the registered area. The tag shall remain attached to the bird until the time it is processed for consumption. Tags are available from the department at a cost of $5 per 100 tags.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