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571—112.5</w:t>
      </w:r>
      <w:r>
        <w:rPr>
          <w:rFonts w:ascii="Times New Roman" w:hAnsi="Times New Roman"/>
          <w:b/>
          <w:i w:val="false"/>
          <w:color w:val="000000"/>
          <w:sz w:val="22"/>
        </w:rPr>
        <w:t xml:space="preserve">(484B,484C) </w:t>
      </w:r>
      <w:r>
        <w:rPr>
          <w:rFonts w:ascii="Times New Roman" w:hAnsi="Times New Roman"/>
          <w:b/>
          <w:i w:val="false"/>
          <w:color w:val="000000"/>
          <w:sz w:val="22"/>
        </w:rPr>
        <w:t xml:space="preserve">Fencing required. </w:t>
      </w:r>
      <w:r>
        <w:rPr>
          <w:rFonts w:ascii="Times New Roman" w:hAnsi="Times New Roman"/>
          <w:b w:val="false"/>
          <w:i w:val="false"/>
          <w:color w:val="000000"/>
          <w:sz w:val="22"/>
        </w:rPr>
        <w:t>All registered hunting preserves for whitetails or other ungulates shall construct and maintain a “deer-proof” boundary fence. Such fence shall be constructed and maintained with a minimum fence height of eight feet above ground level. Fencing shall be inspected and approved by officers of the department prior to registration. Follow-up fence inspections by the department shall be allowed at any reasonable time by appointment or by providing the landowner or preserve registrant with at least 48 hours’ notice. Boundary fence gates shall remain closed at all times except for preserve maintenance activity, at which time no open gate shall be left unattended.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0283D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