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571—112.16</w:t>
      </w:r>
      <w:r>
        <w:rPr>
          <w:rFonts w:ascii="Times New Roman" w:hAnsi="Times New Roman"/>
          <w:b/>
          <w:i w:val="false"/>
          <w:color w:val="000000"/>
          <w:sz w:val="22"/>
        </w:rPr>
        <w:t xml:space="preserve">(481A,484C) </w:t>
      </w:r>
      <w:r>
        <w:rPr>
          <w:rFonts w:ascii="Times New Roman" w:hAnsi="Times New Roman"/>
          <w:b/>
          <w:i w:val="false"/>
          <w:color w:val="000000"/>
          <w:sz w:val="22"/>
        </w:rPr>
        <w:t xml:space="preserve">Herd plan. </w:t>
      </w:r>
      <w:r>
        <w:rPr>
          <w:rFonts w:ascii="Times New Roman" w:hAnsi="Times New Roman"/>
          <w:b w:val="false"/>
          <w:i w:val="false"/>
          <w:color w:val="000000"/>
          <w:sz w:val="22"/>
        </w:rPr>
        <w:t>The registered hunting preserve owner, the owner’s veterinarian, if requested, and a designated epidemiologist shall develop a plan for eradicating CWD in affected herds. The plan must be designed to reduce and then eliminate CWD from the herd and prevent spillover into wild cervids. The herd plan must be developed and signed within 60 days after the determination that the herd is affected. The plan must be formalized as a memorandum of agreement between the owner and program officials within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0283D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