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571—111.9</w:t>
      </w:r>
      <w:r>
        <w:rPr>
          <w:rFonts w:ascii="Times New Roman" w:hAnsi="Times New Roman"/>
          <w:b/>
          <w:i w:val="false"/>
          <w:color w:val="000000"/>
          <w:sz w:val="22"/>
        </w:rPr>
        <w:t xml:space="preserve">(481A) </w:t>
      </w:r>
      <w:r>
        <w:rPr>
          <w:rFonts w:ascii="Times New Roman" w:hAnsi="Times New Roman"/>
          <w:b/>
          <w:i w:val="false"/>
          <w:color w:val="000000"/>
          <w:sz w:val="22"/>
        </w:rPr>
        <w:t xml:space="preserve">Disposition of animals, parts, eggs or nests. </w:t>
      </w:r>
      <w:r>
        <w:rPr>
          <w:rFonts w:ascii="Times New Roman" w:hAnsi="Times New Roman"/>
          <w:b w:val="false"/>
          <w:i w:val="false"/>
          <w:color w:val="000000"/>
          <w:sz w:val="22"/>
        </w:rPr>
        <w:t>Injured or orphaned animals that cannot be returned to their natural environment shall be transferred to someone with an educational project permit or, after being euthanized by or under the guidance of a licensed veterinarian, handled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111.9(1)</w:t>
      </w:r>
      <w:r>
        <w:rPr>
          <w:rFonts w:ascii="Times New Roman" w:hAnsi="Times New Roman"/>
          <w:b w:val="false"/>
          <w:i w:val="false"/>
          <w:color w:val="000000"/>
          <w:sz w:val="22"/>
        </w:rPr>
        <w:t> </w:t>
      </w:r>
      <w:r>
        <w:rPr>
          <w:rFonts w:ascii="Times New Roman" w:hAnsi="Times New Roman"/>
          <w:b w:val="false"/>
          <w:i w:val="false"/>
          <w:color w:val="000000"/>
          <w:sz w:val="22"/>
        </w:rPr>
        <w:t>The animals will be transferred to someone with a scientific collector’s permit or a wildlife salvage permit after obtaining permission from the department,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111.9(2)</w:t>
      </w:r>
      <w:r>
        <w:rPr>
          <w:rFonts w:ascii="Times New Roman" w:hAnsi="Times New Roman"/>
          <w:b w:val="false"/>
          <w:i w:val="false"/>
          <w:color w:val="000000"/>
          <w:sz w:val="22"/>
        </w:rPr>
        <w:t> </w:t>
      </w:r>
      <w:r>
        <w:rPr>
          <w:rFonts w:ascii="Times New Roman" w:hAnsi="Times New Roman"/>
          <w:b w:val="false"/>
          <w:i w:val="false"/>
          <w:color w:val="000000"/>
          <w:sz w:val="22"/>
        </w:rPr>
        <w:t xml:space="preserve">Disposition of carcasses must be in accordance with local ordinances and according to Iowa Code chapter </w:t>
      </w:r>
      <w:hyperlink r:id="rId4">
        <w:r>
          <w:rPr>
            <w:rStyle w:val="Hyperlink"/>
            <w:rFonts w:ascii="Times New Roman" w:hAnsi="Times New Roman"/>
            <w:b w:val="false"/>
            <w:i w:val="false"/>
            <w:color w:val="000000"/>
            <w:sz w:val="22"/>
          </w:rPr>
          <w:t>167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All threatened and endangered species that have died, that must be euthanized, or that cannot be released shall be referred to the department for further determination of proper disposition.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0284D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67.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