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571—111.8</w:t>
      </w:r>
      <w:r>
        <w:rPr>
          <w:rFonts w:ascii="Times New Roman" w:hAnsi="Times New Roman"/>
          <w:b/>
          <w:i w:val="false"/>
          <w:color w:val="000000"/>
          <w:sz w:val="22"/>
        </w:rPr>
        <w:t xml:space="preserve">(481A) </w:t>
      </w:r>
      <w:r>
        <w:rPr>
          <w:rFonts w:ascii="Times New Roman" w:hAnsi="Times New Roman"/>
          <w:b/>
          <w:i w:val="false"/>
          <w:color w:val="000000"/>
          <w:sz w:val="22"/>
        </w:rPr>
        <w:t xml:space="preserve">Evaluation committee. </w:t>
      </w:r>
      <w:r>
        <w:rPr>
          <w:rFonts w:ascii="Times New Roman" w:hAnsi="Times New Roman"/>
          <w:b w:val="false"/>
          <w:i w:val="false"/>
          <w:color w:val="000000"/>
          <w:sz w:val="22"/>
        </w:rPr>
        <w:t>For the purpose of evaluating facilities, standards of care, study design, sample numbers, and impacts to wild populations from applications requested by applicants under this rule, the director may establish an ad hoc committee of persons with expertise in wildlife, rehabilitation, veterinary medicine, research or education. Upon request by the director, the committee shall inspect the facilities, procedures and educational programs and provide the department with appropriate recommendations. The committee may also consider the National Wildlife Rehabilitator’s Code of Ethics for its recommendations. The recommendations may be used as a basis for placing certain conditions on a permit or modifying or terminating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