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571—111.3</w:t>
      </w:r>
      <w:r>
        <w:rPr>
          <w:rFonts w:ascii="Times New Roman" w:hAnsi="Times New Roman"/>
          <w:b/>
          <w:i w:val="false"/>
          <w:color w:val="000000"/>
          <w:sz w:val="22"/>
        </w:rPr>
        <w:t xml:space="preserve">(481A) </w:t>
      </w:r>
      <w:r>
        <w:rPr>
          <w:rFonts w:ascii="Times New Roman" w:hAnsi="Times New Roman"/>
          <w:b/>
          <w:i w:val="false"/>
          <w:color w:val="000000"/>
          <w:sz w:val="22"/>
        </w:rPr>
        <w:t xml:space="preserve">Scientific collector’s permit. </w:t>
      </w:r>
      <w:r>
        <w:rPr>
          <w:rFonts w:ascii="Times New Roman" w:hAnsi="Times New Roman"/>
          <w:b w:val="false"/>
          <w:i w:val="false"/>
          <w:color w:val="000000"/>
          <w:sz w:val="22"/>
        </w:rPr>
        <w:t>A scientific collector’s permit may, after investigation, be issued to any business, organization, university, college or person engaged in a scientific project approved by the department.</w:t>
      </w:r>
    </w:p>
    <w:p>
      <w:pPr>
        <w:spacing w:before="0" w:after="0"/>
        <w:ind w:left="120"/>
        <w:jc w:val="both"/>
      </w:pPr>
      <w:r>
        <w:rPr>
          <w:rFonts w:ascii="Times New Roman" w:hAnsi="Times New Roman"/>
          <w:b w:val="false"/>
          <w:i w:val="false"/>
          <w:color w:val="000000"/>
          <w:sz w:val="22"/>
        </w:rPr>
        <w:t>This permit may be issued for a period of up to three years.</w:t>
      </w:r>
    </w:p>
    <w:p>
      <w:pPr>
        <w:spacing w:before="0" w:after="0"/>
        <w:ind w:left="120"/>
        <w:jc w:val="both"/>
      </w:pPr>
      <w:r>
        <w:rPr>
          <w:rFonts w:ascii="Times New Roman" w:hAnsi="Times New Roman"/>
          <w:b w:val="false"/>
          <w:i w:val="false"/>
          <w:color w:val="000000"/>
          <w:sz w:val="22"/>
        </w:rPr>
        <w:t>The application narrative shall include the reason for study, expected conservation benefit for Iowa, species, number of specimens to be collected, geographic location, time frame and collection methods subject to department approval.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0284D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