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571—111.2</w:t>
      </w:r>
      <w:r>
        <w:rPr>
          <w:rFonts w:ascii="Times New Roman" w:hAnsi="Times New Roman"/>
          <w:b/>
          <w:i w:val="false"/>
          <w:color w:val="000000"/>
          <w:sz w:val="22"/>
        </w:rPr>
        <w:t xml:space="preserve">(481A) </w:t>
      </w:r>
      <w:r>
        <w:rPr>
          <w:rFonts w:ascii="Times New Roman" w:hAnsi="Times New Roman"/>
          <w:b/>
          <w:i w:val="false"/>
          <w:color w:val="000000"/>
          <w:sz w:val="22"/>
        </w:rPr>
        <w:t xml:space="preserve">General conditions for permits.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Applications will not be approved for private collections or for commercial use of protected species.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costs incurred by the permittee for the administration of any permit authorized by this chapter are the responsibility of the permittee.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Scientific collecting permits, wildlife salvage permits, and educational project permits unless for migratory birds are generally issued in the name of the institution or organization. The principal collector or permittee will be listed on the permit and be responsible for administering the permit. All persons collecting or working under the authority of the permit shall carry a copy of the permit and a letter of authorization from the principal permittee.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Educational project permits for migratory birds and wildlife rehabilitation permits may list an institution or organization but also must list the person or persons with the qualifications for that particular permit. These permits do not necessarily continue with the institution or organization if the person or persons listed on the permits leave. If replacement personnel with the proper qualifications for the permit or permits are found, then the permit or permits may stay in the institution’s or organization’s name.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Specimens collected or possessed under any permit authorized by this chapter remain the property of the state of Iowa. The department reserves the right to determine the disposition of all specimens collected under authority of these permits.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Records, facilities and inventories must be made available for inspection by the department’s agents during reasonable hours.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Records of collections and the manner in which specimens have been acquired and their disposition must be kept current at all times.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Authorization to collect or possess endangered or threatened species requires special permission and must comply with provisions established in Iowa Code chapter </w:t>
      </w:r>
      <w:hyperlink r:id="rId4">
        <w:r>
          <w:rPr>
            <w:rStyle w:val="Hyperlink"/>
            <w:rFonts w:ascii="Times New Roman" w:hAnsi="Times New Roman"/>
            <w:b w:val="false"/>
            <w:i w:val="false"/>
            <w:color w:val="000000"/>
            <w:sz w:val="22"/>
          </w:rPr>
          <w:t>481B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representative of the department must be notified within 72 hours of a permittee taking or holding threatened or endangered species that are found dead and within 24 hours for those that are injured or sick.</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permitted rehabilitator or veterinarian must determine if a migratory bird is permanently crippled before it may be held under an educational project permit.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Permit fees will be $5 for one year, $10 for two years, and $15 for three years.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Applicants for scientific collectors, wildlife rehabilitation, and educational projects must be at least 18 years old or provide written permission from a parent or guardian.</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No animals being rehabilitated may be used for educational programs.</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 xml:space="preserve">Applicants for scientific collector, wildlife rehabilitation, wildlife salvage, and educational project permits that are requesting permission to collect, possess, or hold wildlife species as listed in </w:t>
      </w:r>
      <w:r>
        <w:rPr>
          <w:rFonts w:ascii="Times New Roman" w:hAnsi="Times New Roman"/>
          <w:b w:val="false"/>
          <w:i w:val="false"/>
          <w:color w:val="000000"/>
          <w:sz w:val="22"/>
        </w:rPr>
        <w:t>50 CFR Parts 10</w:t>
      </w:r>
      <w:r>
        <w:rPr>
          <w:rFonts w:ascii="Times New Roman" w:hAnsi="Times New Roman"/>
          <w:b w:val="false"/>
          <w:i w:val="false"/>
          <w:color w:val="000000"/>
          <w:sz w:val="22"/>
        </w:rPr>
        <w:t xml:space="preserve">, </w:t>
      </w:r>
      <w:r>
        <w:rPr>
          <w:rFonts w:ascii="Times New Roman" w:hAnsi="Times New Roman"/>
          <w:b w:val="false"/>
          <w:i w:val="false"/>
          <w:color w:val="000000"/>
          <w:sz w:val="22"/>
        </w:rPr>
        <w:t>20</w:t>
      </w:r>
      <w:r>
        <w:rPr>
          <w:rFonts w:ascii="Times New Roman" w:hAnsi="Times New Roman"/>
          <w:b w:val="false"/>
          <w:i w:val="false"/>
          <w:color w:val="000000"/>
          <w:sz w:val="22"/>
        </w:rPr>
        <w:t xml:space="preserve">, and </w:t>
      </w:r>
      <w:r>
        <w:rPr>
          <w:rFonts w:ascii="Times New Roman" w:hAnsi="Times New Roman"/>
          <w:b w:val="false"/>
          <w:i w:val="false"/>
          <w:color w:val="000000"/>
          <w:sz w:val="22"/>
        </w:rPr>
        <w:t>21</w:t>
      </w:r>
      <w:r>
        <w:rPr>
          <w:rFonts w:ascii="Times New Roman" w:hAnsi="Times New Roman"/>
          <w:b w:val="false"/>
          <w:i w:val="false"/>
          <w:color w:val="000000"/>
          <w:sz w:val="22"/>
        </w:rPr>
        <w:t xml:space="preserve"> as amended through August 4, 2025, must follow provisions set forth and may be required to obtain a federal permit issued by the U.S. Fish and Wildlife Service.</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Any native mammals, reptiles, amphibians, or fish that are not state-listed endangered or threatened species and are obtained from legal sources outside the state of Iowa are exempt from these permit requirements. Proof of origin of each animal is the responsibility of the owner.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0284D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1B.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