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567—69.8</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Waivers to these rules may be granted by the department or the administrative authority provided sufficient information is submitted, prior to construction, to substantiate the need for and propriety of such action. Applications for waivers and justification shall be in writing and filed with the department in accordance with </w:t>
      </w:r>
      <w:hyperlink r:id="rId4">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1.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