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567—69.6</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Intermittent subsurface sand filters (ISSFs). </w:t>
      </w:r>
      <w:r>
        <w:rPr>
          <w:rFonts w:ascii="Times New Roman" w:hAnsi="Times New Roman"/>
          <w:b w:val="false"/>
          <w:i w:val="false"/>
          <w:color w:val="000000"/>
          <w:sz w:val="22"/>
        </w:rPr>
        <w:t>The following provisions apply to ISSFs.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ISSFs may be used when the administrative authority determines the site is unacceptable for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shall be located in accordance with the SDs in Table I in </w:t>
      </w:r>
      <w:hyperlink r:id="rId4">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ISSFs shall have a sample port or means of collecting a representative effluent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no construction, such as buildings or concrete driveways, covering any part of an ISSF.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may be constructed where the water table is below the bottom of the collector pipe. If the water table is verified to be higher than the bottom of the collector pipe, an ISSF may only be installed if either a liner is installed or subsurface drainage tile is used to lower the water table,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needed, a plastic liner shall use a minimum of 30-millimeter plastic or product of equivalent thickness as determined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water table is lowered by use of subsurface drainage tile, the minimum depth of the drainage tile shall be greater than or equal to the lowest portion of the sand filter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in these rules for ISSFs are minimal and may not be sufficient for all applications. Other design information beyond the scope of these rules may be necessary to properly design an ISSF. Refer to Appendix F of this chapter for ISSF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Proprietary treatment systems (PTSs). </w:t>
      </w:r>
      <w:r>
        <w:rPr>
          <w:rFonts w:ascii="Times New Roman" w:hAnsi="Times New Roman"/>
          <w:b w:val="false"/>
          <w:i w:val="false"/>
          <w:color w:val="000000"/>
          <w:sz w:val="22"/>
        </w:rPr>
        <w:t>The following provisions apply to all PTSs.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may be used when the administrative authority determines the site is unacceptable for a soil absorption system or an ISSF.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PTS manufacturers shall submit to the department, by February 1 of each year, their current installation and maintenance manual, including the applicable third-party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PTS that utilizes replaceable media, a media disposal plan shall be included in the installation and maintenance manual. Used media from a PTS is considered “septage,” and septage shall be disposed of in accordance with </w:t>
      </w:r>
      <w:hyperlink r:id="rId5">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PTSs shall be located in accordance with the SDs in Table I in </w:t>
      </w:r>
      <w:hyperlink r:id="rId6">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installation, and operation. </w:t>
      </w:r>
      <w:r>
        <w:rPr>
          <w:rFonts w:ascii="Times New Roman" w:hAnsi="Times New Roman"/>
          <w:b w:val="false"/>
          <w:i w:val="false"/>
          <w:color w:val="000000"/>
          <w:sz w:val="22"/>
        </w:rPr>
        <w:t xml:space="preserve">A PTS shall be installed and operated in accordance with the manufacturer’s requirements. Additionally: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other than an aerobic treatment unit shall be preceded by a septic tank with a minimum capacity in accordance with </w:t>
      </w:r>
      <w:hyperlink r:id="rId7">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or shall have an incorporated component that is, or performs the same function as, a septic tank. A pretank or chamber that is part of the design, that is intended to serve the same function as a septic tank, and that was approved by third-party certification shall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aerobic treatment unit PTS that does not have an incorporated component that is, or performs the same function as, a septic tank as part of the approved design shall be preceded by a pretreatment tank with a minimum capacity of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that utilizes a soil absorption system to disperse the treated effluent shall comply with </w:t>
      </w:r>
      <w:hyperlink r:id="rId8">
        <w:r>
          <w:rPr>
            <w:rStyle w:val="Hyperlink"/>
            <w:rFonts w:ascii="Times New Roman" w:hAnsi="Times New Roman"/>
            <w:b w:val="false"/>
            <w:i w:val="false"/>
            <w:color w:val="000000"/>
            <w:sz w:val="22"/>
          </w:rPr>
          <w:t>567—69.5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PTSs shall have a sample port or means of collecting a representative effluent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installation, a contract for PTS monitoring and maintenance shall be established between the system owner and a manufacturer-certified technician. A maintenance contract is required for the life of the system. A copy of the maintenance contract shall be made available to the administrative authority. A PTS shall be inspected, monitored, and maintained in accordance with the manufacturer’s specifications and third-party certification, or at least once annually, whichever is more 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PTS monitoring and maintenance shall be performed by a manufacturer-certified technician. PTS manufacturers shall ensure that an adequate number of certified technicians are available to service their PTSs at the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technicians shall report monitoring and maintenance results to the system owner and to the administrative authority. Certified technicians shall also report any discontinuance of PTS maintenance to the administrative authority.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60.2.pdf" Type="http://schemas.openxmlformats.org/officeDocument/2006/relationships/hyperlink" Id="rId4"/>
    <Relationship TargetMode="External" Target="https://www.legis.iowa.gov/docs/iac/chapter/567.68.pdf" Type="http://schemas.openxmlformats.org/officeDocument/2006/relationships/hyperlink" Id="rId5"/>
    <Relationship TargetMode="External" Target="https://www.legis.iowa.gov/docs/iac/rule/567.60.2.pdf" Type="http://schemas.openxmlformats.org/officeDocument/2006/relationships/hyperlink" Id="rId6"/>
    <Relationship TargetMode="External" Target="https://www.legis.iowa.gov/docs/iac/rule/567.69.3.pdf" Type="http://schemas.openxmlformats.org/officeDocument/2006/relationships/hyperlink" Id="rId7"/>
    <Relationship TargetMode="External" Target="https://www.legis.iowa.gov/docs/iac/rule/567.69.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