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567—69.5</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treatment—soil absorption systems. </w:t>
      </w:r>
      <w:r>
        <w:rPr>
          <w:rFonts w:ascii="Times New Roman" w:hAnsi="Times New Roman"/>
          <w:b w:val="false"/>
          <w:i w:val="false"/>
          <w:color w:val="000000"/>
          <w:sz w:val="22"/>
        </w:rPr>
        <w:t xml:space="preserve">When a PSDS uses secondary treatment prior to the discharge, land application, or other disposal of effluent, it shall comply with all applicable provisions of this rule or </w:t>
      </w:r>
      <w:hyperlink r:id="rId4">
        <w:r>
          <w:rPr>
            <w:rStyle w:val="Hyperlink"/>
            <w:rFonts w:ascii="Times New Roman" w:hAnsi="Times New Roman"/>
            <w:b w:val="false"/>
            <w:i w:val="false"/>
            <w:color w:val="000000"/>
            <w:sz w:val="22"/>
          </w:rPr>
          <w:t>567—69.6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color w:val="000000"/>
          <w:sz w:val="22"/>
        </w:rPr>
        <w:t xml:space="preserve">Provisions. </w:t>
      </w:r>
      <w:r>
        <w:rPr>
          <w:rFonts w:ascii="Times New Roman" w:hAnsi="Times New Roman"/>
          <w:b w:val="false"/>
          <w:i w:val="false"/>
          <w:color w:val="000000"/>
          <w:sz w:val="22"/>
        </w:rPr>
        <w:t>The following provisions apply to all soil absorption systems. Soil absorption systems are the best available treatment technology and shall always be used where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drainage.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shall enter a soil absorption system that does not first pass through a septic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foundation, area, and storm drains shall not discharge into or upon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of any kind, including driveways, covering the septic tank, distribution box, or absorption field of a soil absorption system. Vehicle access should be infrequent, primarily limited to vegetation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evaluation. </w:t>
      </w:r>
      <w:r>
        <w:rPr>
          <w:rFonts w:ascii="Times New Roman" w:hAnsi="Times New Roman"/>
          <w:b w:val="false"/>
          <w:i w:val="false"/>
          <w:color w:val="000000"/>
          <w:sz w:val="22"/>
        </w:rPr>
        <w:t>Either a percolation test or a professional soil analysis, including a confining layer determination, is required before any soil absorption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Percolation test. If a percolation test is performed, it shall comply with the procedure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soil analysis. If a professional soil analysis is performed, soil characteristics including but not limited to soil content, color, texture, and structure shall be used to determine the confining layer and the soil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Acceptable percolation rate. An area is deemed suitable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conventional systems, soil absorption bed systems, and at-grade systems, the average percolation rate is less than 60 minutes per inch and greater than one minute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mound systems, an average percolation rate of less than 120 minutes per inch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Confining layer determination. At least one additional test hole six feet in depth, or to water or rock, whichever occurs first, shall be provided in the center of the proposed absorption area to determine the location of any confining layer. This six-foot test hole shall be drilled prior to determining the percolation test hole depths and may be augered the same size as the percolation test holes or may be made with a soil probe.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If the seasonal high groundwater level is present within three feet of the trench bottom final grade and cannot be successfully lowered by subsurface tile drainage, the area shall be classified as unsuitable for a soil absorption system. The administrative authority shall be consulted to determine an acceptable alternative method of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absorption systems shall be located in accordance with the SDs in Table I in </w:t>
      </w:r>
      <w:hyperlink r:id="rId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soil absorption systems shall be located to maximize the vertical SD from the bottom of the absorption trench to the confining layer, but under no circumstances shall this vertical separation be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situations where specific location or site characteristics would appear to prohibit installation of a conventional soil absorption system, design modifications to overcome such limitations may be approved by the administrative authority. Such design modifications could include but are not limited to the installation of subsurface drainage; the use of shallow or at-grade systems or mound systems; or the use of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Driveway crossings. </w:t>
      </w:r>
      <w:r>
        <w:rPr>
          <w:rFonts w:ascii="Times New Roman" w:hAnsi="Times New Roman"/>
          <w:b w:val="false"/>
          <w:i w:val="false"/>
          <w:color w:val="000000"/>
          <w:sz w:val="22"/>
        </w:rPr>
        <w:t>Connecting lines under driveways shall be constructed of SCH 40 PVC pipe (SDR 26 or stronger) or equivalent and shall be protected from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Loading rates and trench size.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Percolation and soil loading tables. All soil absorption systems installed under this subrule shall comply with the following tables. Table IIa provides a correlation between percolation rates and soil loading rates. Table IIb provides soil loading rates based upon soil texture and structure. Table IIa and Table IIb shall be used to determine the appropriate soil loading rate. Table IIc specifies linear feet of lateral trenches required based upon the soil loading rate, wastewater flow rate, and trench width. </w:t>
      </w:r>
    </w:p>
    <w:p>
      <w:pPr>
        <w:spacing w:before="60" w:after="0"/>
        <w:ind w:left="120"/>
        <w:jc w:val="center"/>
      </w:pPr>
      <w:r>
        <w:rPr>
          <w:rFonts w:ascii="Times New Roman" w:hAnsi="Times New Roman"/>
          <w:b/>
          <w:i w:val="false"/>
          <w:color w:val="000000"/>
          <w:sz w:val="22"/>
        </w:rPr>
        <w:t>Table IIa</w:t>
      </w:r>
    </w:p>
    <w:p>
      <w:pPr>
        <w:spacing w:before="60" w:after="0"/>
        <w:ind w:left="120"/>
        <w:jc w:val="center"/>
      </w:pPr>
      <w:r>
        <w:rPr>
          <w:rFonts w:ascii="Times New Roman" w:hAnsi="Times New Roman"/>
          <w:b/>
          <w:i w:val="false"/>
          <w:color w:val="000000"/>
          <w:sz w:val="22"/>
        </w:rPr>
        <w:t>Maximum Soil Application Rates Based Upon Percolation</w:t>
      </w:r>
      <w:r>
        <w:br/>
      </w:r>
      <w:r>
        <w:rPr>
          <w:rFonts w:ascii="Times New Roman" w:hAnsi="Times New Roman"/>
          <w:b/>
          <w:i w:val="false"/>
          <w:color w:val="000000"/>
          <w:sz w:val="22"/>
        </w:rPr>
        <w:t>Rates - Monthly Averages in gal/ft</w:t>
      </w:r>
      <w:r>
        <w:rPr>
          <w:rFonts w:ascii="Times New Roman" w:hAnsi="Times New Roman"/>
          <w:b/>
          <w:i w:val="false"/>
          <w:color w:val="000000"/>
          <w:sz w:val="18"/>
          <w:vertAlign w:val="superscript"/>
        </w:rPr>
        <w:t>2</w:t>
      </w:r>
      <w:r>
        <w:rPr>
          <w:rFonts w:ascii="Times New Roman" w:hAnsi="Times New Roman"/>
          <w:b/>
          <w:i w:val="false"/>
          <w:color w:val="000000"/>
          <w:sz w:val="22"/>
        </w:rPr>
        <w:t>/day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6336"/>
        <w:gridCol w:w="2880"/>
      </w:tblGrid>
      <w:tr>
        <w:trPr>
          <w:trHeight w:val="85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 xml:space="preserve"> Percolation Rate (minutes per inch)</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Effluent</w:t>
            </w:r>
            <w:r>
              <w:rPr>
                <w:rFonts w:ascii="Times New Roman" w:hAnsi="Times New Roman"/>
                <w:b/>
                <w:i w:val="false"/>
                <w:color w:val="000000"/>
                <w:sz w:val="18"/>
                <w:vertAlign w:val="superscript"/>
              </w:rPr>
              <w:t>1,2</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25 mg/L - 215 mg/L;</w:t>
            </w:r>
            <w:r>
              <w:br/>
            </w:r>
            <w:r>
              <w:rPr>
                <w:rFonts w:ascii="Times New Roman" w:hAnsi="Times New Roman"/>
                <w:b/>
                <w:i w:val="false"/>
                <w:color w:val="000000"/>
                <w:sz w:val="20"/>
              </w:rPr>
              <w:t>TSS 30 mg/L - 150 mg/L</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Pretreated Effluent</w:t>
            </w:r>
            <w:r>
              <w:br/>
            </w:r>
            <w:r>
              <w:rPr>
                <w:rFonts w:ascii="Times New Roman" w:hAnsi="Times New Roman"/>
                <w:b/>
                <w:i w:val="false"/>
                <w:color w:val="000000"/>
                <w:sz w:val="20"/>
              </w:rPr>
              <w:t>CBOD</w:t>
            </w:r>
            <w:r>
              <w:rPr>
                <w:rFonts w:ascii="Times New Roman" w:hAnsi="Times New Roman"/>
                <w:b/>
                <w:i w:val="false"/>
                <w:color w:val="000000"/>
                <w:sz w:val="18"/>
                <w:vertAlign w:val="subscript"/>
              </w:rPr>
              <w:t>5</w:t>
            </w:r>
            <w:r>
              <w:rPr>
                <w:rFonts w:ascii="Times New Roman" w:hAnsi="Times New Roman"/>
                <w:b/>
                <w:i w:val="false"/>
                <w:color w:val="000000"/>
                <w:sz w:val="20"/>
              </w:rPr>
              <w:t xml:space="preserve"> ≤ 25 mg/L;</w:t>
            </w:r>
            <w:r>
              <w:br/>
            </w:r>
            <w:r>
              <w:rPr>
                <w:rFonts w:ascii="Times New Roman" w:hAnsi="Times New Roman"/>
                <w:b/>
                <w:i w:val="false"/>
                <w:color w:val="000000"/>
                <w:sz w:val="20"/>
              </w:rPr>
              <w:t>TSS ≤ 30 mg/L</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Fine sands</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to 10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0.8 – 0.6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 to 29</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0.6 – 0.5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0.9</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 to 45</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 – 0.4</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0.7</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46 to 60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0.4 – 0.2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 to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0.3</w:t>
            </w:r>
          </w:p>
        </w:tc>
      </w:tr>
      <w:tr>
        <w:trPr>
          <w:trHeight w:val="27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120</w:t>
            </w:r>
          </w:p>
        </w:tc>
        <w:tc>
          <w:tcPr>
            <w:tcW w:w="63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Typical waste strengths for domestic waste. Pretreatment should be considered for waste of higher strength.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Percolation rates and soil loading rates do not precisely correlate; therefore, a range is provided. </w:t>
      </w:r>
    </w:p>
    <w:p>
      <w:pPr>
        <w:spacing w:before="60" w:after="0"/>
        <w:ind w:left="120"/>
        <w:jc w:val="center"/>
      </w:pPr>
      <w:r>
        <w:rPr>
          <w:rFonts w:ascii="Times New Roman" w:hAnsi="Times New Roman"/>
          <w:b/>
          <w:i w:val="false"/>
          <w:color w:val="000000"/>
          <w:sz w:val="22"/>
        </w:rPr>
        <w:t>Table IIb</w:t>
      </w:r>
    </w:p>
    <w:p>
      <w:pPr>
        <w:spacing w:before="60" w:after="0"/>
        <w:ind w:left="120"/>
        <w:jc w:val="center"/>
      </w:pPr>
      <w:r>
        <w:rPr>
          <w:rFonts w:ascii="Times New Roman" w:hAnsi="Times New Roman"/>
          <w:b/>
          <w:i w:val="false"/>
          <w:color w:val="000000"/>
          <w:sz w:val="22"/>
        </w:rPr>
        <w:t xml:space="preserve">Maximum Soil Loading Rates Based Upon Soil Evaluations </w:t>
      </w:r>
      <w:r>
        <w:br/>
      </w:r>
      <w:r>
        <w:rPr>
          <w:rFonts w:ascii="Times New Roman" w:hAnsi="Times New Roman"/>
          <w:b/>
          <w:i w:val="false"/>
          <w:color w:val="000000"/>
          <w:sz w:val="22"/>
        </w:rPr>
        <w:t>in gal/ft</w:t>
      </w:r>
      <w:r>
        <w:rPr>
          <w:rFonts w:ascii="Times New Roman" w:hAnsi="Times New Roman"/>
          <w:b/>
          <w:i w:val="false"/>
          <w:color w:val="000000"/>
          <w:sz w:val="18"/>
          <w:vertAlign w:val="superscript"/>
        </w:rPr>
        <w:t>2</w:t>
      </w:r>
      <w:r>
        <w:rPr>
          <w:rFonts w:ascii="Times New Roman" w:hAnsi="Times New Roman"/>
          <w:b/>
          <w:i w:val="false"/>
          <w:color w:val="000000"/>
          <w:sz w:val="22"/>
        </w:rPr>
        <w:t>/day for Septic Tank Effluent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98"/>
        <w:gridCol w:w="1398"/>
        <w:gridCol w:w="1399"/>
        <w:gridCol w:w="1399"/>
        <w:gridCol w:w="1399"/>
        <w:gridCol w:w="1399"/>
        <w:gridCol w:w="1399"/>
        <w:gridCol w:w="1399"/>
      </w:tblGrid>
      <w:tr>
        <w:trPr>
          <w:trHeight w:val="420" w:hRule="atLeast"/>
        </w:trPr>
        <w:tc>
          <w:tcPr>
            <w:tcW w:w="1398"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Soil Texture</w:t>
            </w:r>
          </w:p>
        </w:tc>
        <w:tc>
          <w:tcPr>
            <w:tcW w:w="1398"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Single Grain</w:t>
            </w:r>
          </w:p>
        </w:tc>
        <w:tc>
          <w:tcPr>
            <w:tcW w:w="139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Massive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Structure -</w:t>
            </w:r>
          </w:p>
          <w:p>
            <w:pPr>
              <w:spacing w:before="0" w:after="0"/>
              <w:ind w:left="160"/>
              <w:jc w:val="center"/>
            </w:pPr>
            <w:r>
              <w:rPr>
                <w:rFonts w:ascii="Times New Roman" w:hAnsi="Times New Roman"/>
                <w:b/>
                <w:i w:val="false"/>
                <w:color w:val="000000"/>
                <w:sz w:val="16"/>
              </w:rPr>
              <w:t>Granular, Blocky, or Prismatic</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Platy</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Strong</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39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 to</w:t>
            </w:r>
            <w:r>
              <w:br/>
            </w:r>
            <w:r>
              <w:rPr>
                <w:rFonts w:ascii="Times New Roman" w:hAnsi="Times New Roman"/>
                <w:b w:val="false"/>
                <w:i w:val="false"/>
                <w:color w:val="000000"/>
                <w:sz w:val="16"/>
              </w:rPr>
              <w:t>Strong</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Coarse sand and gravel</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Medium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Fine sands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6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fine sands</w:t>
            </w:r>
            <w:r>
              <w:rPr>
                <w:rFonts w:ascii="Times New Roman" w:hAnsi="Times New Roman"/>
                <w:b w:val="false"/>
                <w:i w:val="false"/>
                <w:color w:val="000000"/>
                <w:sz w:val="18"/>
                <w:vertAlign w:val="superscript"/>
              </w:rPr>
              <w:t>1</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Sandy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r>
              <w:br/>
            </w:r>
            <w:r>
              <w:rPr>
                <w:rFonts w:ascii="Times New Roman" w:hAnsi="Times New Roman"/>
                <w:b w:val="false"/>
                <w:i w:val="false"/>
                <w:color w:val="000000"/>
                <w:sz w:val="16"/>
              </w:rPr>
              <w:t>(1.1)</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w:t>
            </w:r>
            <w:r>
              <w:br/>
            </w:r>
            <w:r>
              <w:rPr>
                <w:rFonts w:ascii="Times New Roman" w:hAnsi="Times New Roman"/>
                <w:b w:val="false"/>
                <w:i w:val="false"/>
                <w:color w:val="000000"/>
                <w:sz w:val="16"/>
              </w:rPr>
              <w:t>(1.2)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r>
      <w:tr>
        <w:trPr>
          <w:trHeight w:val="405" w:hRule="atLeast"/>
        </w:trPr>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clay loam</w:t>
            </w:r>
          </w:p>
        </w:tc>
        <w:tc>
          <w:tcPr>
            <w:tcW w:w="139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39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r>
    </w:tbl>
    <w:p>
      <w:pPr>
        <w:spacing w:before="0" w:after="0"/>
        <w:ind w:left="120"/>
        <w:jc w:val="both"/>
      </w:pPr>
      <w:r>
        <w:rPr>
          <w:rFonts w:ascii="Times New Roman" w:hAnsi="Times New Roman"/>
          <w:b w:val="false"/>
          <w:i w:val="false"/>
          <w:color w:val="000000"/>
          <w:sz w:val="18"/>
        </w:rPr>
        <w:t>Notes: Values in ( ) are for pretreated effluent. “X” means not found in nature. “NS” means not suitable for soil absorption.</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Flow rates are difficult to determine for some very fine sands; experience may provide better information and flow rates. </w:t>
      </w:r>
    </w:p>
    <w:p>
      <w:pPr>
        <w:spacing w:before="60" w:after="0"/>
        <w:ind w:left="120"/>
        <w:jc w:val="center"/>
      </w:pPr>
      <w:r>
        <w:rPr>
          <w:rFonts w:ascii="Times New Roman" w:hAnsi="Times New Roman"/>
          <w:b/>
          <w:i w:val="false"/>
          <w:color w:val="000000"/>
          <w:sz w:val="22"/>
        </w:rPr>
        <w:t>Table IIc</w:t>
      </w:r>
    </w:p>
    <w:p>
      <w:pPr>
        <w:spacing w:before="60" w:after="0"/>
        <w:ind w:left="120"/>
        <w:jc w:val="center"/>
      </w:pPr>
      <w:r>
        <w:rPr>
          <w:rFonts w:ascii="Times New Roman" w:hAnsi="Times New Roman"/>
          <w:b/>
          <w:i w:val="false"/>
          <w:color w:val="000000"/>
          <w:sz w:val="22"/>
        </w:rPr>
        <w:t xml:space="preserve">Minimum Length of Absorption Trenches in Lineal Feet </w:t>
      </w:r>
      <w:r>
        <w:br/>
      </w:r>
      <w:r>
        <w:rPr>
          <w:rFonts w:ascii="Times New Roman" w:hAnsi="Times New Roman"/>
          <w:b/>
          <w:i w:val="false"/>
          <w:color w:val="000000"/>
          <w:sz w:val="22"/>
        </w:rPr>
        <w:t>by Width of Trench and Soil Loading Rate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43"/>
        <w:gridCol w:w="925"/>
        <w:gridCol w:w="925"/>
        <w:gridCol w:w="925"/>
        <w:gridCol w:w="925"/>
        <w:gridCol w:w="925"/>
        <w:gridCol w:w="925"/>
        <w:gridCol w:w="925"/>
        <w:gridCol w:w="924"/>
        <w:gridCol w:w="924"/>
        <w:gridCol w:w="924"/>
      </w:tblGrid>
      <w:tr>
        <w:trPr>
          <w:trHeight w:val="450"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loading rate gal/ft</w:t>
            </w:r>
            <w:r>
              <w:rPr>
                <w:rFonts w:ascii="Times New Roman" w:hAnsi="Times New Roman"/>
                <w:b/>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Two bedroom, 300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Three bedroom, 450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Four bedroom, 600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Five bedroom, 750 gpd</w:t>
            </w:r>
            <w:r>
              <w:rPr>
                <w:rFonts w:ascii="Times New Roman" w:hAnsi="Times New Roman"/>
                <w:b/>
                <w:i w:val="false"/>
                <w:color w:val="000000"/>
                <w:sz w:val="18"/>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Six bedroom, 900 gpd</w:t>
            </w:r>
            <w:r>
              <w:rPr>
                <w:rFonts w:ascii="Times New Roman" w:hAnsi="Times New Roman"/>
                <w:b/>
                <w:i w:val="false"/>
                <w:color w:val="000000"/>
                <w:sz w:val="18"/>
                <w:vertAlign w:val="superscript"/>
              </w:rPr>
              <w:t>1</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Width of trench in feet</w:t>
            </w:r>
          </w:p>
        </w:tc>
      </w:tr>
      <w:tr>
        <w:trPr>
          <w:trHeight w:val="225" w:hRule="atLeast"/>
        </w:trPr>
        <w:tc>
          <w:tcPr>
            <w:tcW w:w="19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suitable for soil absorption trenches</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2</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r>
      <w:tr>
        <w:trPr>
          <w:trHeight w:val="25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w:t>
            </w:r>
            <w:r>
              <w:rPr>
                <w:rFonts w:ascii="Times New Roman" w:hAnsi="Times New Roman"/>
                <w:b w:val="false"/>
                <w:i w:val="false"/>
                <w:color w:val="000000"/>
                <w:sz w:val="18"/>
                <w:vertAlign w:val="superscript"/>
              </w:rPr>
              <w:t>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536</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429</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341</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409</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r>
      <w:tr>
        <w:trPr>
          <w:trHeight w:val="225" w:hRule="atLeast"/>
        </w:trPr>
        <w:tc>
          <w:tcPr>
            <w:tcW w:w="19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gpd - gallons per day. Design flow rates are based on 150 gallons per bedroom per day.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Requires pressure distribution (pump).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Unsuitable absorption. Conventional soil absorption trenches and at-grade systems shall not be installed in soils that have a percolation rate less than 1 minute per inch or greater than 60 minutes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for all soil absorption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A trench bottom depth of 18 to 24 inches is recommended. Soil absorption trenches shall not exceed 36 inches in depth. Not less than six inches of porous soil shall be provided over the laterals. The minimum separation between the trench bottom and any confining layer shall be 36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Length. No soil absorption trench shall be greater than 100 feet long unless the administrative authority approves the use of a drop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Trench SD. At least six feet of undisturbed soil shall be left between each trench edge on level sites. Two feet of SD should be added for each five percent increase in slope from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Grade. The trench bottom should be constructed level from end to end. On sloping ground, the trench shall follow a uniform land contour to maintain a minimum soil cover of six inches and a level trench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Compaction. There shall be minimum use of, or traffic of heavy equipment on, the area proposed for soil absorption. In addition, heavy equipment shall not be used on the trench bottoms in the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Soils. Soil absorption systems shall not be installed in fill soil. Disturbed soils that have stabilized for at least one year shall require a recent percolation test or professional soil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Soil smearing.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Soils with significant clay content should not be worked when wet.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moisture causes trench bottom or sidewall smearing, the installation should be discontinued until conditions improve.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color w:val="000000"/>
          <w:sz w:val="22"/>
        </w:rPr>
        <w:t xml:space="preserve">Gravel aggregate systems. </w:t>
      </w:r>
      <w:r>
        <w:rPr>
          <w:rFonts w:ascii="Times New Roman" w:hAnsi="Times New Roman"/>
          <w:b w:val="false"/>
          <w:i w:val="false"/>
          <w:color w:val="000000"/>
          <w:sz w:val="22"/>
        </w:rPr>
        <w:t>The following provisions apply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six inches of clean, washed river gravel, free of clay and clay coatings, shall be laid below the distribution pipe, and enough gravel shall be used to cover the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gravel shall be of such a size that 100 percent of the gravel will pass a 2½-inch screen and 100 percent will be retained on a ¾-inch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Limestone or crushed rock is not recommended for soil absorption systems; however, if used, 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wear, as determined in accordance with the American Association of State Highway and Transportation Officials (AAHSTO) T 96, Grading C, 2022, available on the AAHSTO website at </w:t>
      </w:r>
      <w:hyperlink r:id="rId6">
        <w:r>
          <w:rPr>
            <w:rStyle w:val="Hyperlink"/>
            <w:rFonts w:ascii="Times New Roman" w:hAnsi="Times New Roman"/>
            <w:b w:val="false"/>
            <w:i w:val="false"/>
            <w:color w:val="000000"/>
            <w:sz w:val="22"/>
            <w:u w:val="single"/>
          </w:rPr>
          <w:t>store.transportation.org</w:t>
        </w:r>
      </w:hyperlink>
      <w:r>
        <w:rPr>
          <w:rFonts w:ascii="Times New Roman" w:hAnsi="Times New Roman"/>
          <w:b w:val="false"/>
          <w:i w:val="false"/>
          <w:color w:val="000000"/>
          <w:sz w:val="22"/>
        </w:rPr>
        <w:t>, shall not exceed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gravel is subjected to the freezing and thawing test, Iowa DOT Materials Laboratory Test Method 211, Method A, April 15, 2025, available at </w:t>
      </w:r>
      <w:hyperlink r:id="rId7">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the percentage loss shall not exceed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absorption, determined in accordance with Iowa DOT Materials Laboratory Test Method 202, April 15, 2025, available at </w:t>
      </w:r>
      <w:hyperlink r:id="rId8">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shall not exceed three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Soil absorption trenches for gravel systems shall have a minimum width of 24 inches and a maximum width of 36 inches at the bottom of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distribution pipes shall be laid with a minimum grade of two inches per 100 feet of run and a maximum grade of six inches per 100 feet of run, with a preference given to the lesser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pipe used in gravity-based distribution type systems shall be PVC rigid plastic meeting ASTM 2729.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diameter shall be not less than four inches, with perforations at least ½ inch and no more than ¾ inch in diameter, spaced no more than 40 inches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Two rows of perforations shall be provided; located 120 degrees apart along the bottom half of the tubing and each 60 degrees up from the bottom centerline.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end of the pipe in each trench shall be sealed with a watertight cap unless, on a level site, a footer is installed connecting the trenches together.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Coiled perforated plastic pipe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Synthetic drainage fabric or other material approved by the manufacturer or administrative authority shall be laid so as to separate the gravel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color w:val="000000"/>
          <w:sz w:val="22"/>
        </w:rPr>
        <w:t xml:space="preserve">Chamber systems. </w:t>
      </w:r>
      <w:r>
        <w:rPr>
          <w:rFonts w:ascii="Times New Roman" w:hAnsi="Times New Roman"/>
          <w:b w:val="false"/>
          <w:i w:val="false"/>
          <w:color w:val="000000"/>
          <w:sz w:val="22"/>
        </w:rPr>
        <w:t>The following provisions apply to chamber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Chamber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for chambers 22 inches wide shall be the same as specified in Table IIc for a two-foot-wide conventional soil absorption trench. Chambers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Sidewall. </w:t>
      </w:r>
      <w:r>
        <w:rPr>
          <w:rFonts w:ascii="Times New Roman" w:hAnsi="Times New Roman"/>
          <w:b w:val="false"/>
          <w:i w:val="false"/>
          <w:color w:val="000000"/>
          <w:sz w:val="22"/>
        </w:rPr>
        <w:t xml:space="preserve">The chambers shall have at least six inches of sidewall effluent soil exposure height.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color w:val="000000"/>
          <w:sz w:val="22"/>
        </w:rPr>
        <w:t xml:space="preserve">EPS aggregate systems. </w:t>
      </w:r>
      <w:r>
        <w:rPr>
          <w:rFonts w:ascii="Times New Roman" w:hAnsi="Times New Roman"/>
          <w:b w:val="false"/>
          <w:i w:val="false"/>
          <w:color w:val="000000"/>
          <w:sz w:val="22"/>
        </w:rPr>
        <w:t>The following provisions apply to EPS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EPS aggregate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using a 12-inch EPS aggregate bundle configuration less than 33 inches wide shall be the same as specified in Table IIc for a two-foot-wide conventional soil absorption trench. Twelve-inch EPS aggregate bundle configurations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EPS bundles. </w:t>
      </w:r>
      <w:r>
        <w:rPr>
          <w:rFonts w:ascii="Times New Roman" w:hAnsi="Times New Roman"/>
          <w:b w:val="false"/>
          <w:i w:val="false"/>
          <w:color w:val="000000"/>
          <w:sz w:val="22"/>
        </w:rPr>
        <w:t>EPS bundles may be configured in a trench, bed, at-grade, or mound application to obtain the desired width, height, and length. EPS bundles containing a distribution pipe shall be connected end-to-end with an internal coupling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color w:val="000000"/>
          <w:sz w:val="22"/>
        </w:rPr>
        <w:t xml:space="preserve">Mound systems. </w:t>
      </w:r>
      <w:r>
        <w:rPr>
          <w:rFonts w:ascii="Times New Roman" w:hAnsi="Times New Roman"/>
          <w:b w:val="false"/>
          <w:i w:val="false"/>
          <w:color w:val="000000"/>
          <w:sz w:val="22"/>
        </w:rPr>
        <w:t>The following provisions apply to mound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Mound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9">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sand in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Soils where the high groundwater level, impermeable bedrock, or soil strata having a percolation rate exceeding 120 minutes per inch occurs within 12 inches of natural grade;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creviced bedrock occurs within 20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50 feet on the downgradient side of the mound when the mound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the effluent disposal area as long as the mound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mounds are minimal and may not be sufficient for all locations. Other design information beyond the scope of these rules may be necessary to properly design a mound system. Refer to Appendix C of this chapter for mound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color w:val="000000"/>
          <w:sz w:val="22"/>
        </w:rPr>
        <w:t xml:space="preserve">At-grade systems. </w:t>
      </w:r>
      <w:r>
        <w:rPr>
          <w:rFonts w:ascii="Times New Roman" w:hAnsi="Times New Roman"/>
          <w:b w:val="false"/>
          <w:i w:val="false"/>
          <w:color w:val="000000"/>
          <w:sz w:val="22"/>
        </w:rPr>
        <w:t>The following provisions apply to at-grade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At-grade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10">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distribution bed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Soils where a confining layer occurs or soil strata having a percolation rate exceeding 60 minutes per inch occur within 36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25 feet on the downgradient side of an at-grade system when the system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this effluent disposal area as long as the at-grade system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at-grade systems are minimal and may not be sufficient for all locations. Other design information beyond the scope of these rules may be necessary to properly design an at-grade system. Refer to Appendix D of this chapter for at-grade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color w:val="000000"/>
          <w:sz w:val="22"/>
        </w:rPr>
        <w:t xml:space="preserve">Soil absorption bed systems. </w:t>
      </w:r>
      <w:r>
        <w:rPr>
          <w:rFonts w:ascii="Times New Roman" w:hAnsi="Times New Roman"/>
          <w:b w:val="false"/>
          <w:i w:val="false"/>
          <w:color w:val="000000"/>
          <w:sz w:val="22"/>
        </w:rPr>
        <w:t>The following provisions apply to soil absorption bed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Soil absorption bed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specified in Table I in </w:t>
      </w:r>
      <w:hyperlink r:id="rId11">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Refer to Appendix E of this chapter for soil absorption bed system construction design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69.6.pdf" Type="http://schemas.openxmlformats.org/officeDocument/2006/relationships/hyperlink" Id="rId4"/>
    <Relationship TargetMode="External" Target="https://www.legis.iowa.gov/docs/iac/rule/567.60.2.pdf" Type="http://schemas.openxmlformats.org/officeDocument/2006/relationships/hyperlink" Id="rId5"/>
    <Relationship TargetMode="External" Target="http://store.transportation.org" Type="http://schemas.openxmlformats.org/officeDocument/2006/relationships/hyperlink" Id="rId6"/>
    <Relationship TargetMode="External" Target="http://erl.iowadot.gov" Type="http://schemas.openxmlformats.org/officeDocument/2006/relationships/hyperlink" Id="rId7"/>
    <Relationship TargetMode="External" Target="http://erl.iowadot.gov" Type="http://schemas.openxmlformats.org/officeDocument/2006/relationships/hyperlink" Id="rId8"/>
    <Relationship TargetMode="External" Target="https://www.legis.iowa.gov/docs/iac/rule/567.60.2.pdf" Type="http://schemas.openxmlformats.org/officeDocument/2006/relationships/hyperlink" Id="rId9"/>
    <Relationship TargetMode="External" Target="https://www.legis.iowa.gov/docs/iac/rule/567.60.2.pdf" Type="http://schemas.openxmlformats.org/officeDocument/2006/relationships/hyperlink" Id="rId10"/>
    <Relationship TargetMode="External" Target="https://www.legis.iowa.gov/docs/iac/rule/567.60.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