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567—69.2</w:t>
      </w:r>
      <w:r>
        <w:rPr>
          <w:rFonts w:ascii="Times New Roman" w:hAnsi="Times New Roman"/>
          <w:b/>
          <w:i w:val="false"/>
          <w:color w:val="000000"/>
          <w:sz w:val="22"/>
        </w:rPr>
        <w:t xml:space="preserve">(455B) </w:t>
      </w:r>
      <w:r>
        <w:rPr>
          <w:rFonts w:ascii="Times New Roman" w:hAnsi="Times New Roman"/>
          <w:b/>
          <w:i w:val="false"/>
          <w:color w:val="000000"/>
          <w:sz w:val="22"/>
        </w:rPr>
        <w:t xml:space="preserve">General design 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69.2(1)</w:t>
      </w:r>
      <w:r>
        <w:rPr>
          <w:rFonts w:ascii="Times New Roman" w:hAnsi="Times New Roman"/>
          <w:b w:val="false"/>
          <w:i w:val="false"/>
          <w:color w:val="000000"/>
          <w:sz w:val="22"/>
        </w:rPr>
        <w:t> </w:t>
      </w:r>
      <w:r>
        <w:rPr>
          <w:rFonts w:ascii="Times New Roman" w:hAnsi="Times New Roman"/>
          <w:b w:val="false"/>
          <w:i/>
          <w:color w:val="000000"/>
          <w:sz w:val="22"/>
        </w:rPr>
        <w:t xml:space="preserve">Building sewers.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and construction. </w:t>
      </w:r>
      <w:r>
        <w:rPr>
          <w:rFonts w:ascii="Times New Roman" w:hAnsi="Times New Roman"/>
          <w:b w:val="false"/>
          <w:i w:val="false"/>
          <w:color w:val="000000"/>
          <w:sz w:val="22"/>
        </w:rPr>
        <w:t xml:space="preserve">Building sewers shall be constructed in accordance with the SDs in Table I in </w:t>
      </w:r>
      <w:hyperlink r:id="rId4">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The distances shall be considered minimum distances and shall be increased where possible to provide better protection.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Type. </w:t>
      </w:r>
      <w:r>
        <w:rPr>
          <w:rFonts w:ascii="Times New Roman" w:hAnsi="Times New Roman"/>
          <w:b w:val="false"/>
          <w:i w:val="false"/>
          <w:color w:val="000000"/>
          <w:sz w:val="22"/>
        </w:rPr>
        <w:t>Building sewers used to conduct wastewater from a building to the primary treatment unit of a PSDS shall be constructed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SCH 40 PVC pipe (SDR 26 or stronger) with solvent-weld or bell-and-gasket-type joints approved for use for below grade applications or for the wastewater industry;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Cast iron with integral bell-and-gasket-type joints.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Size. </w:t>
      </w:r>
      <w:r>
        <w:rPr>
          <w:rFonts w:ascii="Times New Roman" w:hAnsi="Times New Roman"/>
          <w:b w:val="false"/>
          <w:i w:val="false"/>
          <w:color w:val="000000"/>
          <w:sz w:val="22"/>
        </w:rPr>
        <w:t>Building sewers shall not be less than four inches in diameter.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Grade. </w:t>
      </w:r>
      <w:r>
        <w:rPr>
          <w:rFonts w:ascii="Times New Roman" w:hAnsi="Times New Roman"/>
          <w:b w:val="false"/>
          <w:i w:val="false"/>
          <w:color w:val="000000"/>
          <w:sz w:val="22"/>
        </w:rPr>
        <w:t>Building sewers shall be laid to the following minimum grades:</w:t>
      </w:r>
    </w:p>
    <w:p>
      <w:pPr>
        <w:spacing w:before="0" w:after="0"/>
        <w:ind w:left="120"/>
        <w:jc w:val="both"/>
      </w:pPr>
      <w:r>
        <w:rPr>
          <w:rFonts w:ascii="Times New Roman" w:hAnsi="Times New Roman"/>
          <w:b w:val="false"/>
          <w:i w:val="false"/>
          <w:color w:val="000000"/>
          <w:sz w:val="22"/>
        </w:rPr>
        <w:t>4-inch sewer</w:t>
      </w:r>
      <w:r>
        <w:rPr>
          <w:rFonts w:ascii="Times New Roman" w:hAnsi="Times New Roman"/>
          <w:b w:val="false"/>
          <w:i w:val="false"/>
          <w:color w:val="000000"/>
          <w:sz w:val="22"/>
        </w:rPr>
        <w:t>12 inches per 100 feet</w:t>
      </w:r>
    </w:p>
    <w:p>
      <w:pPr>
        <w:spacing w:before="0" w:after="0"/>
        <w:ind w:left="120"/>
        <w:jc w:val="both"/>
      </w:pPr>
      <w:r>
        <w:rPr>
          <w:rFonts w:ascii="Times New Roman" w:hAnsi="Times New Roman"/>
          <w:b w:val="false"/>
          <w:i w:val="false"/>
          <w:color w:val="000000"/>
          <w:sz w:val="22"/>
        </w:rPr>
        <w:t>6-inch sewer</w:t>
      </w:r>
      <w:r>
        <w:rPr>
          <w:rFonts w:ascii="Times New Roman" w:hAnsi="Times New Roman"/>
          <w:b w:val="false"/>
          <w:i w:val="false"/>
          <w:color w:val="000000"/>
          <w:sz w:val="22"/>
        </w:rPr>
        <w:t>8 inches per 100 feet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69.2(2)</w:t>
      </w:r>
      <w:r>
        <w:rPr>
          <w:rFonts w:ascii="Times New Roman" w:hAnsi="Times New Roman"/>
          <w:b w:val="false"/>
          <w:i w:val="false"/>
          <w:color w:val="000000"/>
          <w:sz w:val="22"/>
        </w:rPr>
        <w:t> </w:t>
      </w:r>
      <w:r>
        <w:rPr>
          <w:rFonts w:ascii="Times New Roman" w:hAnsi="Times New Roman"/>
          <w:b w:val="false"/>
          <w:i/>
          <w:color w:val="000000"/>
          <w:sz w:val="22"/>
        </w:rPr>
        <w:t xml:space="preserve">Cleanouts.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Spacing. </w:t>
      </w:r>
      <w:r>
        <w:rPr>
          <w:rFonts w:ascii="Times New Roman" w:hAnsi="Times New Roman"/>
          <w:b w:val="false"/>
          <w:i w:val="false"/>
          <w:color w:val="000000"/>
          <w:sz w:val="22"/>
        </w:rPr>
        <w:t>A cleanout shall be provided where the building sewer leaves the structure and at least every 100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Change of direction or grade. </w:t>
      </w:r>
      <w:r>
        <w:rPr>
          <w:rFonts w:ascii="Times New Roman" w:hAnsi="Times New Roman"/>
          <w:b w:val="false"/>
          <w:i w:val="false"/>
          <w:color w:val="000000"/>
          <w:sz w:val="22"/>
        </w:rPr>
        <w:t>An accessible cleanout shall be provided at each change of direction or grade if the change exceeds 45 degrees prior to primary treatment.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69.2(3)</w:t>
      </w:r>
      <w:r>
        <w:rPr>
          <w:rFonts w:ascii="Times New Roman" w:hAnsi="Times New Roman"/>
          <w:b w:val="false"/>
          <w:i w:val="false"/>
          <w:color w:val="000000"/>
          <w:sz w:val="22"/>
        </w:rPr>
        <w:t> </w:t>
      </w:r>
      <w:r>
        <w:rPr>
          <w:rFonts w:ascii="Times New Roman" w:hAnsi="Times New Roman"/>
          <w:b w:val="false"/>
          <w:i/>
          <w:color w:val="000000"/>
          <w:sz w:val="22"/>
        </w:rPr>
        <w:t xml:space="preserve">Grease interceptors.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Grease interceptors shall be provided for kitchen flows at restaurants, nursing homes, schools, hospitals, and any other facilities from which grease can be expected to be discharged.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Installation. </w:t>
      </w:r>
      <w:r>
        <w:rPr>
          <w:rFonts w:ascii="Times New Roman" w:hAnsi="Times New Roman"/>
          <w:b w:val="false"/>
          <w:i w:val="false"/>
          <w:color w:val="000000"/>
          <w:sz w:val="22"/>
        </w:rPr>
        <w:t>Grease interceptors shall be installed on separate building sewers serving kitchen flows into which the grease will be discharged. A discharge from a grease interceptor must flow to either a properly designed septic tank or to a building sewer and then to the primary treatment unit.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69.2(4)</w:t>
      </w:r>
      <w:r>
        <w:rPr>
          <w:rFonts w:ascii="Times New Roman" w:hAnsi="Times New Roman"/>
          <w:b w:val="false"/>
          <w:i w:val="false"/>
          <w:color w:val="000000"/>
          <w:sz w:val="22"/>
        </w:rPr>
        <w:t> </w:t>
      </w:r>
      <w:r>
        <w:rPr>
          <w:rFonts w:ascii="Times New Roman" w:hAnsi="Times New Roman"/>
          <w:b w:val="false"/>
          <w:i/>
          <w:color w:val="000000"/>
          <w:sz w:val="22"/>
        </w:rPr>
        <w:t xml:space="preserve">Impervious vault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 xml:space="preserve">Impervious vault toilets shall be located in accordance with the SDs in Table I in </w:t>
      </w:r>
      <w:hyperlink r:id="rId5">
        <w:r>
          <w:rPr>
            <w:rStyle w:val="Hyperlink"/>
            <w:rFonts w:ascii="Times New Roman" w:hAnsi="Times New Roman"/>
            <w:b w:val="false"/>
            <w:i w:val="false"/>
            <w:color w:val="000000"/>
            <w:sz w:val="22"/>
          </w:rPr>
          <w:t>567—paragraph 60.2(2)</w:t>
        </w:r>
      </w:hyperlink>
      <w:r>
        <w:rPr>
          <w:rFonts w:ascii="Times New Roman" w:hAnsi="Times New Roman"/>
          <w:b w:val="false"/>
          <w:i/>
          <w:color w:val="000000"/>
          <w:sz w:val="22"/>
        </w:rPr>
        <w:t>“c”</w:t>
      </w:r>
      <w:r>
        <w:rPr>
          <w:rFonts w:ascii="Times New Roman" w:hAnsi="Times New Roman"/>
          <w:b w:val="false"/>
          <w:i w:val="false"/>
          <w:color w:val="000000"/>
          <w:sz w:val="22"/>
        </w:rPr>
        <w:t xml:space="preserve"> for the closed portion of a treatment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The vault shall be constructed of reinforced, impervious concrete at least four inches thick. The superstructure, including floor slab, seat, seat cover, riser, and building, shall comply with good design and construction practices to provide permanent, safe, and sanitary facilities. The vault shall be provided with a cleanout opening fitted with a fly-tight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impervious vault toilets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69.2(5)</w:t>
      </w:r>
      <w:r>
        <w:rPr>
          <w:rFonts w:ascii="Times New Roman" w:hAnsi="Times New Roman"/>
          <w:b w:val="false"/>
          <w:i w:val="false"/>
          <w:color w:val="000000"/>
          <w:sz w:val="22"/>
        </w:rPr>
        <w:t> </w:t>
      </w:r>
      <w:r>
        <w:rPr>
          <w:rFonts w:ascii="Times New Roman" w:hAnsi="Times New Roman"/>
          <w:b w:val="false"/>
          <w:i/>
          <w:color w:val="000000"/>
          <w:sz w:val="22"/>
        </w:rPr>
        <w:t xml:space="preserve">Portable toilets.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Design. </w:t>
      </w:r>
      <w:r>
        <w:rPr>
          <w:rFonts w:ascii="Times New Roman" w:hAnsi="Times New Roman"/>
          <w:b w:val="false"/>
          <w:i w:val="false"/>
          <w:color w:val="000000"/>
          <w:sz w:val="22"/>
        </w:rPr>
        <w:t xml:space="preserve">All portable toilets shall be designed to receive and retain the wastes deposited in them and shall be located and maintained in a manner that will prevent the creation of any nuisance condition.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system. </w:t>
      </w:r>
      <w:r>
        <w:rPr>
          <w:rFonts w:ascii="Times New Roman" w:hAnsi="Times New Roman"/>
          <w:b w:val="false"/>
          <w:i w:val="false"/>
          <w:color w:val="000000"/>
          <w:sz w:val="22"/>
        </w:rPr>
        <w:t>Wastewater from portable toilets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69.2(6)</w:t>
      </w:r>
      <w:r>
        <w:rPr>
          <w:rFonts w:ascii="Times New Roman" w:hAnsi="Times New Roman"/>
          <w:b w:val="false"/>
          <w:i w:val="false"/>
          <w:color w:val="000000"/>
          <w:sz w:val="22"/>
        </w:rPr>
        <w:t> </w:t>
      </w:r>
      <w:r>
        <w:rPr>
          <w:rFonts w:ascii="Times New Roman" w:hAnsi="Times New Roman"/>
          <w:b w:val="false"/>
          <w:i/>
          <w:color w:val="000000"/>
          <w:sz w:val="22"/>
        </w:rPr>
        <w:t xml:space="preserve">Holding tanks for waste.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Holding tanks may only be used when site characteristics or restrictions do not allow for the installation of a system that consists of both primary and secondary treatment or when the use will be seasonal or sporadic.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Capacity. </w:t>
      </w:r>
      <w:r>
        <w:rPr>
          <w:rFonts w:ascii="Times New Roman" w:hAnsi="Times New Roman"/>
          <w:b w:val="false"/>
          <w:i w:val="false"/>
          <w:color w:val="000000"/>
          <w:sz w:val="22"/>
        </w:rPr>
        <w:t>The minimum liquid-holding capacity shall be 1,250 gallons.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Pumping frequency. </w:t>
      </w:r>
      <w:r>
        <w:rPr>
          <w:rFonts w:ascii="Times New Roman" w:hAnsi="Times New Roman"/>
          <w:b w:val="false"/>
          <w:i w:val="false"/>
          <w:color w:val="000000"/>
          <w:sz w:val="22"/>
        </w:rPr>
        <w:t>Holding tanks shall be pumped as necessary to prevent overflows, leaks, or releases of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Recordkeeping. </w:t>
      </w:r>
      <w:r>
        <w:rPr>
          <w:rFonts w:ascii="Times New Roman" w:hAnsi="Times New Roman"/>
          <w:b w:val="false"/>
          <w:i w:val="false"/>
          <w:color w:val="000000"/>
          <w:sz w:val="22"/>
        </w:rPr>
        <w:t xml:space="preserve">Holding tank owners shall keep all pumping records for three years. Records shall be made available to the administrative authority upon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 xml:space="preserve">Holding tanks shall be constructed and installed using the materials and processes allowed for septic tanks in </w:t>
      </w:r>
      <w:hyperlink r:id="rId6">
        <w:r>
          <w:rPr>
            <w:rStyle w:val="Hyperlink"/>
            <w:rFonts w:ascii="Times New Roman" w:hAnsi="Times New Roman"/>
            <w:b w:val="false"/>
            <w:i w:val="false"/>
            <w:color w:val="000000"/>
            <w:sz w:val="22"/>
          </w:rPr>
          <w:t>69.3(6)</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69.3(8)</w:t>
        </w:r>
      </w:hyperlink>
      <w:r>
        <w:rPr>
          <w:rFonts w:ascii="Times New Roman" w:hAnsi="Times New Roman"/>
          <w:b w:val="false"/>
          <w:i w:val="false"/>
          <w:color w:val="000000"/>
          <w:sz w:val="22"/>
        </w:rPr>
        <w:t>. All holding tanks shall be equipped with a high-water alarm.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Wastewater disposal. </w:t>
      </w:r>
      <w:r>
        <w:rPr>
          <w:rFonts w:ascii="Times New Roman" w:hAnsi="Times New Roman"/>
          <w:b w:val="false"/>
          <w:i w:val="false"/>
          <w:color w:val="000000"/>
          <w:sz w:val="22"/>
        </w:rPr>
        <w:t>Wastewater from holding tanks shall be disposed of at a POTW or other department-permitted wastewater disposal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69.2(7)</w:t>
      </w:r>
      <w:r>
        <w:rPr>
          <w:rFonts w:ascii="Times New Roman" w:hAnsi="Times New Roman"/>
          <w:b w:val="false"/>
          <w:i w:val="false"/>
          <w:color w:val="000000"/>
          <w:sz w:val="22"/>
        </w:rPr>
        <w:t> </w:t>
      </w:r>
      <w:r>
        <w:rPr>
          <w:rFonts w:ascii="Times New Roman" w:hAnsi="Times New Roman"/>
          <w:b w:val="false"/>
          <w:i/>
          <w:color w:val="000000"/>
          <w:sz w:val="22"/>
        </w:rPr>
        <w:t xml:space="preserve">Location. </w:t>
      </w:r>
      <w:r>
        <w:rPr>
          <w:rFonts w:ascii="Times New Roman" w:hAnsi="Times New Roman"/>
          <w:b w:val="false"/>
          <w:i w:val="false"/>
          <w:color w:val="000000"/>
          <w:sz w:val="22"/>
        </w:rPr>
        <w:t>No PSDS shall be located upon property under ownership different from the ownership of that property or lot upon which the wastewater originates unless easements to that effect are legally recorded and approved by the proper administrative authority.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9467C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 see Delay note at end of chapter]</w:t>
      </w:r>
    </w:p>
    <w:sectPr>
      <w:footerReference r:id="rId8"/>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60.2.pdf" Type="http://schemas.openxmlformats.org/officeDocument/2006/relationships/hyperlink" Id="rId4"/>
    <Relationship TargetMode="External" Target="https://www.legis.iowa.gov/docs/iac/rule/567.60.2.pdf" Type="http://schemas.openxmlformats.org/officeDocument/2006/relationships/hyperlink" Id="rId5"/>
    <Relationship TargetMode="External" Target="https://www.legis.iowa.gov/docs/iac/rule/567.69.3.pdf" Type="http://schemas.openxmlformats.org/officeDocument/2006/relationships/hyperlink" Id="rId6"/>
    <Relationship TargetMode="External" Target="https://www.legis.iowa.gov/docs/iac/rule/567.69.3.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