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441—22.6</w:t>
      </w:r>
      <w:r>
        <w:rPr>
          <w:rFonts w:ascii="Times New Roman" w:hAnsi="Times New Roman"/>
          <w:b/>
          <w:i w:val="false"/>
          <w:color w:val="000000"/>
          <w:sz w:val="22"/>
        </w:rPr>
        <w:t xml:space="preserve">(225D) </w:t>
      </w:r>
      <w:r>
        <w:rPr>
          <w:rFonts w:ascii="Times New Roman" w:hAnsi="Times New Roman"/>
          <w:b/>
          <w:i w:val="false"/>
          <w:color w:val="000000"/>
          <w:sz w:val="22"/>
        </w:rPr>
        <w:t xml:space="preserve">Provider network. </w:t>
      </w:r>
      <w:r>
        <w:rPr>
          <w:rFonts w:ascii="Times New Roman" w:hAnsi="Times New Roman"/>
          <w:b w:val="false"/>
          <w:i w:val="false"/>
          <w:color w:val="000000"/>
          <w:sz w:val="22"/>
        </w:rPr>
        <w:t>The administrator shall establish and maintain a network of department-approved autism service providers so that applied behavior analysis services are available to eligible individuals statewide to the maximum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A provider shall be approved to participate in the autism support program provider network if the provider meets one of the following standards and is approved to provide applied behavior analysis services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autism service provider is a behavior analyst licensed under Iowa Code chapter </w:t>
      </w:r>
      <w:hyperlink r:id="rId4">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autism service provider is a psychologist licensed under Iowa Code chapter </w:t>
      </w:r>
      <w:hyperlink r:id="rId5">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autism service provider is a psychiatrist licensed under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The administrator’s provider network shall accept the rate established by the department through the department’s contract with the administrator as payment in full for the services rendered and will not charge eligible individuals any additional fees for services rendered, except for those eligible individuals who are required to pay a portion of the cost of services due to cost-sharing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calculating the cost-sharing amount according to standards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val="false"/>
          <w:color w:val="000000"/>
          <w:sz w:val="22"/>
        </w:rPr>
        <w:t>The autism service provider is responsible for collecting the cost-sharing amount from the eligible individual and will only be reimbursed by the administrator for the balance of the service fee minus the amount of cost sharing.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4D.pdf" Type="http://schemas.openxmlformats.org/officeDocument/2006/relationships/hyperlink" Id="rId4"/>
    <Relationship TargetMode="External" Target="https://www.legis.iowa.gov/docs/ico/chapter/154B.pdf" Type="http://schemas.openxmlformats.org/officeDocument/2006/relationships/hyperlink" Id="rId5"/>
    <Relationship TargetMode="External" Target="https://www.legis.iowa.gov/docs/ico/chapter/14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