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441—22.5</w:t>
      </w:r>
      <w:r>
        <w:rPr>
          <w:rFonts w:ascii="Times New Roman" w:hAnsi="Times New Roman"/>
          <w:b/>
          <w:i w:val="false"/>
          <w:color w:val="000000"/>
          <w:sz w:val="22"/>
        </w:rPr>
        <w:t xml:space="preserve">(225D) </w:t>
      </w:r>
      <w:r>
        <w:rPr>
          <w:rFonts w:ascii="Times New Roman" w:hAnsi="Times New Roman"/>
          <w:b/>
          <w:i w:val="false"/>
          <w:color w:val="000000"/>
          <w:sz w:val="22"/>
        </w:rPr>
        <w:t xml:space="preserve">Initial-service authorization and renewal-of-service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All services reimbursed through the program shall be prior-authorized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An autism service provider shall submit an initial treatment plan to the administrator specifying a plan of treatment for a period of no more than six months. The initial treatment plan shall specify the amount of units of applied behavior analysis services requested for the eligible individual and include a baseline standardized assessment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Family engagement and participation are required for participation in the autism support program. Treatment plans shall identify specific activities and responsibilities of parents or guardians in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reflect the autism service provider’s engagement with the school in which the eligible individual is enrolled. Treatment plans shall identify specific actions taken by the autism service provider to engage the eligible individual’s school and the results of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may include services provided by staff with a minimum of a bachelor’s degree, or a registered behavior technician, both of whom provide treatment under the supervision of a behavior analyst or assistant behavior analyst licensed pursuant to Iowa Code chapter </w:t>
      </w:r>
      <w:hyperlink r:id="rId4">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val="false"/>
          <w:color w:val="000000"/>
          <w:sz w:val="22"/>
        </w:rPr>
        <w:t>For renewal or modification of service authorizations, the autism service provider shall submit an updated plan of treatment with a request for the number of units of applied behavior analysis the provider believes is medically necessary to address the eligible individual’s ongoing treatment needs. The autism service provider shall also provide evidence of the eligible individual’s progress on identified treatment goals. The administrator shall consider the eligible individual’s updated standardized assessment score along with other clinical information when reviewing requests for renewal or modification of service authorizations. Ongoing service authorization requests shall not exceed six months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provide approval, request for modification, or denial within ten business days of receipt of all service authorization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4D.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