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441—22.4</w:t>
      </w:r>
      <w:r>
        <w:rPr>
          <w:rFonts w:ascii="Times New Roman" w:hAnsi="Times New Roman"/>
          <w:b/>
          <w:i w:val="false"/>
          <w:color w:val="000000"/>
          <w:sz w:val="22"/>
        </w:rPr>
        <w:t xml:space="preserve">(225D) </w:t>
      </w:r>
      <w:r>
        <w:rPr>
          <w:rFonts w:ascii="Times New Roman" w:hAnsi="Times New Roman"/>
          <w:b/>
          <w:i w:val="false"/>
          <w:color w:val="000000"/>
          <w:sz w:val="22"/>
        </w:rPr>
        <w:t xml:space="preserve">Review of financial eligibility, cost-sharing requirements, exemption from cost sharing, and disenrollment in the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22.4(1)</w:t>
      </w:r>
      <w:r>
        <w:rPr>
          <w:rFonts w:ascii="Times New Roman" w:hAnsi="Times New Roman"/>
          <w:b w:val="false"/>
          <w:i w:val="false"/>
          <w:color w:val="000000"/>
          <w:sz w:val="22"/>
        </w:rPr>
        <w:t> </w:t>
      </w:r>
      <w:r>
        <w:rPr>
          <w:rFonts w:ascii="Times New Roman" w:hAnsi="Times New Roman"/>
          <w:b w:val="false"/>
          <w:i w:val="false"/>
          <w:color w:val="000000"/>
          <w:sz w:val="22"/>
        </w:rPr>
        <w:t>An eligible individual’s continued financial eligibility for the program, cost-sharing requirements, and exemption from cost sharing will be determined on an annual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22.4(2)</w:t>
      </w:r>
      <w:r>
        <w:rPr>
          <w:rFonts w:ascii="Times New Roman" w:hAnsi="Times New Roman"/>
          <w:b w:val="false"/>
          <w:i w:val="false"/>
          <w:color w:val="000000"/>
          <w:sz w:val="22"/>
        </w:rPr>
        <w:t> </w:t>
      </w:r>
      <w:r>
        <w:rPr>
          <w:rFonts w:ascii="Times New Roman" w:hAnsi="Times New Roman"/>
          <w:b w:val="false"/>
          <w:i w:val="false"/>
          <w:color w:val="000000"/>
          <w:sz w:val="22"/>
        </w:rPr>
        <w:t>The administrator shall request needed information from the eligible individual’s parent or guardian for redetermination of financial eligibility, cost-sharing requirements, and exemption from cost sharing at least 30 days prior to the expiration of the eligible individual’s eligibility period. The notice requesting information needed for renewal of eligibility shall include the ending date of eligibility for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22.4(3)</w:t>
      </w:r>
      <w:r>
        <w:rPr>
          <w:rFonts w:ascii="Times New Roman" w:hAnsi="Times New Roman"/>
          <w:b w:val="false"/>
          <w:i w:val="false"/>
          <w:color w:val="000000"/>
          <w:sz w:val="22"/>
        </w:rPr>
        <w:t> </w:t>
      </w:r>
      <w:r>
        <w:rPr>
          <w:rFonts w:ascii="Times New Roman" w:hAnsi="Times New Roman"/>
          <w:b w:val="false"/>
          <w:i w:val="false"/>
          <w:color w:val="000000"/>
          <w:sz w:val="22"/>
        </w:rPr>
        <w:t>The department will provide a written notice of decision determining ongoing eligibility or denial within 15 calendar days of receipt of the continued financial eligibility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22.4(4)</w:t>
      </w:r>
      <w:r>
        <w:rPr>
          <w:rFonts w:ascii="Times New Roman" w:hAnsi="Times New Roman"/>
          <w:b w:val="false"/>
          <w:i w:val="false"/>
          <w:color w:val="000000"/>
          <w:sz w:val="22"/>
        </w:rPr>
        <w:t> </w:t>
      </w:r>
      <w:r>
        <w:rPr>
          <w:rFonts w:ascii="Times New Roman" w:hAnsi="Times New Roman"/>
          <w:b w:val="false"/>
          <w:i w:val="false"/>
          <w:color w:val="000000"/>
          <w:sz w:val="22"/>
        </w:rPr>
        <w:t>If the signed application and verification of continuing eligibility are not received by the department by the last working day of the renewal month, the individual’s eligibility for the program will be terminated.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22.4(5)</w:t>
      </w:r>
      <w:r>
        <w:rPr>
          <w:rFonts w:ascii="Times New Roman" w:hAnsi="Times New Roman"/>
          <w:b w:val="false"/>
          <w:i w:val="false"/>
          <w:color w:val="000000"/>
          <w:sz w:val="22"/>
        </w:rPr>
        <w:t> </w:t>
      </w:r>
      <w:r>
        <w:rPr>
          <w:rFonts w:ascii="Times New Roman" w:hAnsi="Times New Roman"/>
          <w:b w:val="false"/>
          <w:i w:val="false"/>
          <w:color w:val="000000"/>
          <w:sz w:val="22"/>
        </w:rPr>
        <w:t>Reasons for disenrollment in the autism support program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Death of the eligible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family no longer meets one or more of the eligibility criteria outlined in rule </w:t>
      </w:r>
      <w:hyperlink r:id="rId4">
        <w:r>
          <w:rPr>
            <w:rStyle w:val="Hyperlink"/>
            <w:rFonts w:ascii="Times New Roman" w:hAnsi="Times New Roman"/>
            <w:b w:val="false"/>
            <w:i w:val="false"/>
            <w:color w:val="000000"/>
            <w:sz w:val="22"/>
          </w:rPr>
          <w:t>441—22.2</w:t>
        </w:r>
      </w:hyperlink>
      <w:r>
        <w:rPr>
          <w:rFonts w:ascii="Times New Roman" w:hAnsi="Times New Roman"/>
          <w:b w:val="false"/>
          <w:i w:val="false"/>
          <w:color w:val="000000"/>
          <w:sz w:val="22"/>
        </w:rPr>
        <w:t>(225D).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parent or legal guardian has failed to provide information required for redetermination of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eligible individual has failed to access authorized services for a period of three consecutive months and has not made arrangements with the autism service provider or administrator to access authorized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 funds are appropriated for the autism support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0260D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22.2.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