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281—120.811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(34CFR303) </w:t>
      </w:r>
      <w:r>
        <w:rPr>
          <w:rFonts w:ascii="Times New Roman" w:hAnsi="Times New Roman"/>
          <w:b/>
          <w:i w:val="false"/>
          <w:color w:val="000000"/>
          <w:sz w:val="22"/>
        </w:rPr>
        <w:t>Dispute resolution:</w:t>
      </w:r>
      <w:r>
        <w:rPr>
          <w:rFonts w:ascii="Times New Roman" w:hAnsi="Times New Roman"/>
          <w:b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 xml:space="preserve">practice before mediators and administrative law judges.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otherwise provided by this chapter, any mediation conference or due process hearing under Division VI of this chapter shall be conducted according to 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281—41.1002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(256B,34CFR300),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281—41.1009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(17A,256B)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281—41.1012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(17A,256B),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281—41.1014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(17A,256B) through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281—41.1016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7805C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0259D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81.41.1002.pdf" Type="http://schemas.openxmlformats.org/officeDocument/2006/relationships/hyperlink" Id="rId4"/>
    <Relationship TargetMode="External" Target="https://www.legis.iowa.gov/docs/iac/rule/281.41.1009.pdf" Type="http://schemas.openxmlformats.org/officeDocument/2006/relationships/hyperlink" Id="rId5"/>
    <Relationship TargetMode="External" Target="https://www.legis.iowa.gov/docs/iac/rule/281.41.1012.pdf" Type="http://schemas.openxmlformats.org/officeDocument/2006/relationships/hyperlink" Id="rId6"/>
    <Relationship TargetMode="External" Target="https://www.legis.iowa.gov/docs/iac/rule/281.41.1014.pdf" Type="http://schemas.openxmlformats.org/officeDocument/2006/relationships/hyperlink" Id="rId7"/>
    <Relationship TargetMode="External" Target="https://www.legis.iowa.gov/docs/iac/rule/281.41.1016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