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265—9.9</w:t>
      </w:r>
      <w:r>
        <w:rPr>
          <w:rFonts w:ascii="Times New Roman" w:hAnsi="Times New Roman"/>
          <w:b/>
          <w:i w:val="false"/>
          <w:color w:val="000000"/>
          <w:sz w:val="22"/>
        </w:rPr>
        <w:t xml:space="preserve">(16) </w:t>
      </w:r>
      <w:r>
        <w:rPr>
          <w:rFonts w:ascii="Times New Roman" w:hAnsi="Times New Roman"/>
          <w:b/>
          <w:i w:val="false"/>
          <w:color w:val="000000"/>
          <w:sz w:val="22"/>
        </w:rPr>
        <w:t xml:space="preserve">Rules of construction. </w:t>
      </w:r>
      <w:r>
        <w:rPr>
          <w:rFonts w:ascii="Times New Roman" w:hAnsi="Times New Roman"/>
          <w:b w:val="false"/>
          <w:i w:val="false"/>
          <w:color w:val="000000"/>
          <w:sz w:val="22"/>
        </w:rPr>
        <w:t>In this chapter, the following rules of construction shall be observed: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word “shall” means mandatory and not permissive and the word “may” means permissive and not mandatory.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Nothing contained in this chapter shall be construed to require a participating attorney to disclose privileged information of a client to the division or to any other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rule that provides a specific remedy or sanction for violation of the rule shall not be construed as limiting the ability of the division to pursue and enforce other remedies or sanctions under this chapter, or otherwise against a participant or other person responsible or liable, either separately, concurrently, cumulatively, or in any combination, at the sole discretion of the division.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failure of the division to enforce a right or remedy under this chapter, a statute, or common law shall not be construed as a waiver of such right or remedy either in the specific instance or in any other instance.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