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265—9.6</w:t>
      </w:r>
      <w:r>
        <w:rPr>
          <w:rFonts w:ascii="Times New Roman" w:hAnsi="Times New Roman"/>
          <w:b/>
          <w:i w:val="false"/>
          <w:color w:val="000000"/>
          <w:sz w:val="22"/>
        </w:rPr>
        <w:t xml:space="preserve">(16) </w:t>
      </w:r>
      <w:r>
        <w:rPr>
          <w:rFonts w:ascii="Times New Roman" w:hAnsi="Times New Roman"/>
          <w:b/>
          <w:i w:val="false"/>
          <w:color w:val="000000"/>
          <w:sz w:val="22"/>
        </w:rPr>
        <w:t xml:space="preserve">Services offered.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w:t>
      </w:r>
      <w:r>
        <w:rPr>
          <w:rFonts w:ascii="Times New Roman" w:hAnsi="Times New Roman"/>
          <w:b w:val="false"/>
          <w:i w:val="false"/>
          <w:color w:val="000000"/>
          <w:sz w:val="22"/>
        </w:rPr>
        <w:t> </w:t>
      </w:r>
      <w:r>
        <w:rPr>
          <w:rFonts w:ascii="Times New Roman" w:hAnsi="Times New Roman"/>
          <w:b w:val="false"/>
          <w:i/>
          <w:color w:val="000000"/>
          <w:sz w:val="22"/>
        </w:rPr>
        <w:t xml:space="preserve">Abstracting. </w:t>
      </w:r>
      <w:r>
        <w:rPr>
          <w:rFonts w:ascii="Times New Roman" w:hAnsi="Times New Roman"/>
          <w:b w:val="false"/>
          <w:i w:val="false"/>
          <w:color w:val="000000"/>
          <w:sz w:val="22"/>
        </w:rPr>
        <w:t>Abstracts utilized for division purposes must be prepared by a participating abstractor.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Title plant. </w:t>
      </w:r>
      <w:r>
        <w:rPr>
          <w:rFonts w:ascii="Times New Roman" w:hAnsi="Times New Roman"/>
          <w:b w:val="false"/>
          <w:i w:val="false"/>
          <w:color w:val="000000"/>
          <w:sz w:val="22"/>
        </w:rPr>
        <w:t xml:space="preserve">A participating abstractor shall own and maintain, or lease and use, a title plant, including tract indices for each county in which that participating abstractor prepares abstracts for division purposes, unless exempt under Iowa Code section </w:t>
      </w:r>
      <w:hyperlink r:id="rId4">
        <w:r>
          <w:rPr>
            <w:rStyle w:val="Hyperlink"/>
            <w:rFonts w:ascii="Times New Roman" w:hAnsi="Times New Roman"/>
            <w:b w:val="false"/>
            <w:i w:val="false"/>
            <w:color w:val="000000"/>
            <w:sz w:val="22"/>
          </w:rPr>
          <w:t>16.91(5)</w:t>
        </w:r>
      </w:hyperlink>
      <w:r>
        <w:rPr>
          <w:rFonts w:ascii="Times New Roman" w:hAnsi="Times New Roman"/>
          <w:b w:val="false"/>
          <w:i/>
          <w:color w:val="000000"/>
          <w:sz w:val="22"/>
        </w:rPr>
        <w:t>“a”</w:t>
      </w:r>
      <w:r>
        <w:rPr>
          <w:rFonts w:ascii="Times New Roman" w:hAnsi="Times New Roman"/>
          <w:b w:val="false"/>
          <w:i w:val="false"/>
          <w:color w:val="000000"/>
          <w:sz w:val="22"/>
        </w:rPr>
        <w:t xml:space="preserve">(2) and paragraph </w:t>
      </w:r>
      <w:hyperlink r:id="rId5">
        <w:r>
          <w:rPr>
            <w:rStyle w:val="Hyperlink"/>
            <w:rFonts w:ascii="Times New Roman" w:hAnsi="Times New Roman"/>
            <w:b w:val="false"/>
            <w:i w:val="false"/>
            <w:color w:val="000000"/>
            <w:sz w:val="22"/>
          </w:rPr>
          <w:t>9.6(1)</w:t>
        </w:r>
        <w:r>
          <w:rPr>
            <w:rFonts w:ascii="Times New Roman" w:hAnsi="Times New Roman"/>
            <w:b w:val="false"/>
            <w:i/>
            <w:color w:val="000000"/>
            <w:sz w:val="22"/>
          </w:rPr>
          <w:t>“c”</w:t>
        </w:r>
      </w:hyperlink>
      <w:r>
        <w:rPr>
          <w:rFonts w:ascii="Times New Roman" w:hAnsi="Times New Roman"/>
          <w:b w:val="false"/>
          <w:i w:val="false"/>
          <w:color w:val="000000"/>
          <w:sz w:val="22"/>
        </w:rPr>
        <w:t xml:space="preserve"> or authorized under Iowa Code section </w:t>
      </w:r>
      <w:hyperlink r:id="rId6">
        <w:r>
          <w:rPr>
            <w:rStyle w:val="Hyperlink"/>
            <w:rFonts w:ascii="Times New Roman" w:hAnsi="Times New Roman"/>
            <w:b w:val="false"/>
            <w:i w:val="false"/>
            <w:color w:val="000000"/>
            <w:sz w:val="22"/>
          </w:rPr>
          <w:t>16.91(5)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paragraph </w:t>
      </w:r>
      <w:hyperlink r:id="rId7">
        <w:r>
          <w:rPr>
            <w:rStyle w:val="Hyperlink"/>
            <w:rFonts w:ascii="Times New Roman" w:hAnsi="Times New Roman"/>
            <w:b w:val="false"/>
            <w:i w:val="false"/>
            <w:color w:val="000000"/>
            <w:sz w:val="22"/>
          </w:rPr>
          <w:t>9.6(1)</w:t>
        </w:r>
        <w:r>
          <w:rPr>
            <w:rFonts w:ascii="Times New Roman" w:hAnsi="Times New Roman"/>
            <w:b w:val="false"/>
            <w:i/>
            <w:color w:val="000000"/>
            <w:sz w:val="22"/>
          </w:rPr>
          <w:t>“d.”</w:t>
        </w:r>
      </w:hyperlink>
      <w:r>
        <w:rPr>
          <w:rFonts w:ascii="Times New Roman" w:hAnsi="Times New Roman"/>
          <w:b w:val="false"/>
          <w:i w:val="false"/>
          <w:color w:val="000000"/>
          <w:sz w:val="22"/>
        </w:rPr>
        <w:t xml:space="preserve"> Each of the tract indices shall be designated to encompass a geographical area of not more than one block in the case of platted real estate, nor more than one section in the case of unplatted real estate. The tract indices shall include a reference to all of the instruments affecting real estate recorded in the office of the county recorder, and the tract indices shall commence not less than 40 years prior to the effective date of the abstractor’s participation in the title guaranty program. A government-maintained and -controlled database is not considered a title plant for division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Intent to build title plant. </w:t>
      </w:r>
      <w:r>
        <w:rPr>
          <w:rFonts w:ascii="Times New Roman" w:hAnsi="Times New Roman"/>
          <w:b w:val="false"/>
          <w:i w:val="false"/>
          <w:color w:val="000000"/>
          <w:sz w:val="22"/>
        </w:rPr>
        <w:t>The division may authorize an abstractor who is building or who intends to build a title plant to prepare abstracts for division purposes upon review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abstractor’s business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Evidence that a title plant will be built for a specific county or counties within three years of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timeline for completion of the title plant;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applicant’s abstracting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Exemption. </w:t>
      </w:r>
      <w:r>
        <w:rPr>
          <w:rFonts w:ascii="Times New Roman" w:hAnsi="Times New Roman"/>
          <w:b w:val="false"/>
          <w:i w:val="false"/>
          <w:color w:val="000000"/>
          <w:sz w:val="22"/>
        </w:rPr>
        <w:t xml:space="preserve">The exemption available pursuant to Iowa Code section </w:t>
      </w:r>
      <w:hyperlink r:id="rId8">
        <w:r>
          <w:rPr>
            <w:rStyle w:val="Hyperlink"/>
            <w:rFonts w:ascii="Times New Roman" w:hAnsi="Times New Roman"/>
            <w:b w:val="false"/>
            <w:i w:val="false"/>
            <w:color w:val="000000"/>
            <w:sz w:val="22"/>
          </w:rPr>
          <w:t>16.91(5)</w:t>
        </w:r>
      </w:hyperlink>
      <w:r>
        <w:rPr>
          <w:rFonts w:ascii="Times New Roman" w:hAnsi="Times New Roman"/>
          <w:b w:val="false"/>
          <w:i/>
          <w:color w:val="000000"/>
          <w:sz w:val="22"/>
        </w:rPr>
        <w:t>“a”</w:t>
      </w:r>
      <w:r>
        <w:rPr>
          <w:rFonts w:ascii="Times New Roman" w:hAnsi="Times New Roman"/>
          <w:b w:val="false"/>
          <w:i w:val="false"/>
          <w:color w:val="000000"/>
          <w:sz w:val="22"/>
        </w:rPr>
        <w:t>(2) is unique to the participating attorney, is nontransferable, and terminates at such time as the participating attorney ceases providing abstracts for division purposes or upon the death or incapacity of the participating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Title plant waivers. </w:t>
      </w:r>
      <w:r>
        <w:rPr>
          <w:rFonts w:ascii="Times New Roman" w:hAnsi="Times New Roman"/>
          <w:b w:val="false"/>
          <w:i w:val="false"/>
          <w:color w:val="000000"/>
          <w:sz w:val="22"/>
        </w:rPr>
        <w:t>The division recognizes the 40-year title plant as the preferred method of providing title evidence for the purpose of issuing commitments and certificates. The division must weigh the benefits of the traditional title plant with other alternatives to ensure buyers and lenders a high quality of certificates throughout the state, rapid service, and a competitive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provisions. The division shall consider an application for a title plant waiver upon submission by an attorney or an abstractor.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Submission of application. The division shall accept applications in the same manner as provided in subrule </w:t>
      </w:r>
      <w:hyperlink r:id="rId9">
        <w:r>
          <w:rPr>
            <w:rStyle w:val="Hyperlink"/>
            <w:rFonts w:ascii="Times New Roman" w:hAnsi="Times New Roman"/>
            <w:b w:val="false"/>
            <w:i w:val="false"/>
            <w:color w:val="000000"/>
            <w:sz w:val="22"/>
          </w:rPr>
          <w:t>9.5(2)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Content of application. The applicant must provide,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business address, email address, and telephone number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applicant’s business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county or counties in which the applicant intends to abstract;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applicant’s abstracting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Samples of abstracts prepared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history of any professional disciplinary action against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Professional references in support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relevant facts that the applicant believes would justify a waiver under Iowa Code section </w:t>
      </w:r>
      <w:hyperlink r:id="rId10">
        <w:r>
          <w:rPr>
            <w:rStyle w:val="Hyperlink"/>
            <w:rFonts w:ascii="Times New Roman" w:hAnsi="Times New Roman"/>
            <w:b w:val="false"/>
            <w:i w:val="false"/>
            <w:color w:val="000000"/>
            <w:sz w:val="22"/>
          </w:rPr>
          <w:t>16.91(5)</w:t>
        </w:r>
      </w:hyperlink>
      <w:r>
        <w:rPr>
          <w:rFonts w:ascii="Times New Roman" w:hAnsi="Times New Roman"/>
          <w:b w:val="false"/>
          <w:i/>
          <w:color w:val="000000"/>
          <w:sz w:val="22"/>
        </w:rPr>
        <w:t>“b”</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signed statement from the applicant attesting to the accuracy of the facts provided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Notification and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division shall notify the applicant upon receipt of a complete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Iowa State Bar Association and Iowa Land Title Association shall be provided notice of an application. Provision of the notice to the identified associations is not a requirement for the division to consider the application, and failure to inform an interested person of an application shall not void or otherwise nullify any action or decision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Conditions. A waiver is unique to the recipient and is nontransferable. The division may limit a waiver as to county, transaction type, duration, or any other limitation. The division may require a waiver recipient to provide a guarantee, performance bond, or other form of indemnification as assurance for abstracts prepared by the waiver recipient on behalf of the division. The division may review the waiver annually and may require a renewal, modification or addition to any required assurances. An applicant may only retain a waiver if the applicant continues to meet the requirements for a participant in rule </w:t>
      </w:r>
      <w:hyperlink r:id="rId11">
        <w:r>
          <w:rPr>
            <w:rStyle w:val="Hyperlink"/>
            <w:rFonts w:ascii="Times New Roman" w:hAnsi="Times New Roman"/>
            <w:b w:val="false"/>
            <w:i w:val="false"/>
            <w:color w:val="000000"/>
            <w:sz w:val="22"/>
          </w:rPr>
          <w:t>265—9.5</w:t>
        </w:r>
      </w:hyperlink>
      <w:r>
        <w:rPr>
          <w:rFonts w:ascii="Times New Roman" w:hAnsi="Times New Roman"/>
          <w:b w:val="false"/>
          <w:i w:val="false"/>
          <w:color w:val="000000"/>
          <w:sz w:val="22"/>
        </w:rPr>
        <w:t>(16). If the waiver recipient fails to meet the terms of the recipient’s participation agreement, the waiver may be withdrawn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Withdrawal of a waiver. A waiver issued by the division may be withdrawn or modified if, after public notice and authority board meeting, the authority board issues a written ruling finding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the waiver recipient knowingly withheld or misrepresented material facts relied upon by the division in granting the waiver;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That the waiver recipient failed to comply with all conditions contained in the written ruling;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That the abstracts prepared by the waiver recipient fail to meet the abstract minimum standards adopted by the division;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division has revoked the waiver recipient’s authorization to provide services on behalf of the division pursuant to subrule </w:t>
      </w:r>
      <w:hyperlink r:id="rId12">
        <w:r>
          <w:rPr>
            <w:rStyle w:val="Hyperlink"/>
            <w:rFonts w:ascii="Times New Roman" w:hAnsi="Times New Roman"/>
            <w:b w:val="false"/>
            <w:i w:val="false"/>
            <w:color w:val="000000"/>
            <w:sz w:val="22"/>
          </w:rPr>
          <w:t>9.5(13)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decision of the authority board shall be final agency action, and all appeals shall be filed with the Iowa district court for Polk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w:t>
      </w:r>
      <w:r>
        <w:rPr>
          <w:rFonts w:ascii="Times New Roman" w:hAnsi="Times New Roman"/>
          <w:b w:val="false"/>
          <w:i w:val="false"/>
          <w:color w:val="000000"/>
          <w:sz w:val="22"/>
        </w:rPr>
        <w:t> </w:t>
      </w:r>
      <w:r>
        <w:rPr>
          <w:rFonts w:ascii="Times New Roman" w:hAnsi="Times New Roman"/>
          <w:b w:val="false"/>
          <w:i/>
          <w:color w:val="000000"/>
          <w:sz w:val="22"/>
        </w:rPr>
        <w:t xml:space="preserve">Issuing title opinions.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title opinions shall be prepared by participating attorneys and issued in compliance with division procedures as specified in manuals and any other written instructions given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participating attorney who is a field issuer may issue a commitment as the preliminary title opinion and the certificate as the final title opinion.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participating attorney shall be licensed to practice law in the state of Iowa and shall be in good standing with the Iowa supreme court at all times while acting as an agent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9.6(3)</w:t>
      </w:r>
      <w:r>
        <w:rPr>
          <w:rFonts w:ascii="Times New Roman" w:hAnsi="Times New Roman"/>
          <w:b w:val="false"/>
          <w:i w:val="false"/>
          <w:color w:val="000000"/>
          <w:sz w:val="22"/>
        </w:rPr>
        <w:t> </w:t>
      </w:r>
      <w:r>
        <w:rPr>
          <w:rFonts w:ascii="Times New Roman" w:hAnsi="Times New Roman"/>
          <w:b w:val="false"/>
          <w:i/>
          <w:color w:val="000000"/>
          <w:sz w:val="22"/>
        </w:rPr>
        <w:t xml:space="preserve">Issuing commitments and certificates. </w:t>
      </w:r>
      <w:r>
        <w:rPr>
          <w:rFonts w:ascii="Times New Roman" w:hAnsi="Times New Roman"/>
          <w:b w:val="false"/>
          <w:i w:val="false"/>
          <w:color w:val="000000"/>
          <w:sz w:val="22"/>
        </w:rPr>
        <w:t>Pursuant to a participation agreement with the division, a participant may be authorized to issue a commitment or certificate on behalf of the division. A participant’s right to issue commitments and certificates is a privilege for the convenience of the division and may be terminated pursuant to terms of the participation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w:t>
      </w:r>
      <w:r>
        <w:rPr>
          <w:rFonts w:ascii="Times New Roman" w:hAnsi="Times New Roman"/>
          <w:b w:val="false"/>
          <w:i w:val="false"/>
          <w:color w:val="000000"/>
          <w:sz w:val="22"/>
        </w:rPr>
        <w:t> </w:t>
      </w:r>
      <w:r>
        <w:rPr>
          <w:rFonts w:ascii="Times New Roman" w:hAnsi="Times New Roman"/>
          <w:b w:val="false"/>
          <w:i/>
          <w:color w:val="000000"/>
          <w:sz w:val="22"/>
        </w:rPr>
        <w:t xml:space="preserve">Issuing closing protection letters.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Pursuant to a participation agreement with the division, a participant may be authorized to issue a closing protection letter on behalf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division may require the participating closer to provide an irrevocable letter of direction to the institution at which each escrow account is established, authorizing the division to review and audit the institution’s records of such account at any time that the division, in its discretion, deems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0262D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6.91.pdf" Type="http://schemas.openxmlformats.org/officeDocument/2006/relationships/hyperlink" Id="rId4"/>
    <Relationship TargetMode="External" Target="https://www.legis.iowa.gov/docs/iac/rule/265.9.6.pdf" Type="http://schemas.openxmlformats.org/officeDocument/2006/relationships/hyperlink" Id="rId5"/>
    <Relationship TargetMode="External" Target="https://www.legis.iowa.gov/docs/ico/chapter/16.91.pdf" Type="http://schemas.openxmlformats.org/officeDocument/2006/relationships/hyperlink" Id="rId6"/>
    <Relationship TargetMode="External" Target="https://www.legis.iowa.gov/docs/iac/rule/265.9.6.pdf" Type="http://schemas.openxmlformats.org/officeDocument/2006/relationships/hyperlink" Id="rId7"/>
    <Relationship TargetMode="External" Target="https://www.legis.iowa.gov/docs/ico/chapter/16.91.pdf" Type="http://schemas.openxmlformats.org/officeDocument/2006/relationships/hyperlink" Id="rId8"/>
    <Relationship TargetMode="External" Target="https://www.legis.iowa.gov/docs/iac/rule/265.9.5.pdf" Type="http://schemas.openxmlformats.org/officeDocument/2006/relationships/hyperlink" Id="rId9"/>
    <Relationship TargetMode="External" Target="https://www.legis.iowa.gov/docs/ico/chapter/16.91.pdf" Type="http://schemas.openxmlformats.org/officeDocument/2006/relationships/hyperlink" Id="rId10"/>
    <Relationship TargetMode="External" Target="https://www.legis.iowa.gov/docs/iac/rule/265.9.5.pdf" Type="http://schemas.openxmlformats.org/officeDocument/2006/relationships/hyperlink" Id="rId11"/>
    <Relationship TargetMode="External" Target="https://www.legis.iowa.gov/docs/iac/rule/265.9.5.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