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261—80.9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Relationship to renewable chemical program.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15.119(2)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“b,”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authority may allocate up to $10 million collectively each fiscal year for purposes of the SAF program and the renewable chemical program. The authority board shall determine the amount of such $10 million allocated to each program in a given fiscal year. The authority shall determine whether a business may apply for and receive both a tax credit certificate pursuant to the renewable chemical program and a tax credit certificate pursuant to the SAF program in the same fiscal year. In making this determination, and among other factors, the authority may consider whether a business operates distinct facilities in the state such that a given production of chemicals does not and will not receive the benefits of both a tax credit pursuant to the renewable chemical program and a tax credit pursuant to the SAF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5.11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