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261—80.8</w:t>
      </w:r>
      <w:r>
        <w:rPr>
          <w:rFonts w:ascii="Times New Roman" w:hAnsi="Times New Roman"/>
          <w:b/>
          <w:i w:val="false"/>
          <w:color w:val="000000"/>
          <w:sz w:val="22"/>
        </w:rPr>
        <w:t xml:space="preserve">(15)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 xml:space="preserve">The authority may at any time request additional information and documentation from an eligible business, including but not limited to the operations and economic impact of the eligible business, and the authority may use the information in preparing and publishing any reports to be provided to the general assembly to the extent consistent with Iowa Code sections </w:t>
      </w:r>
      <w:hyperlink r:id="rId4">
        <w:r>
          <w:rPr>
            <w:rStyle w:val="Hyperlink"/>
            <w:rFonts w:ascii="Times New Roman" w:hAnsi="Times New Roman"/>
            <w:b w:val="false"/>
            <w:i w:val="false"/>
            <w:color w:val="000000"/>
            <w:sz w:val="22"/>
          </w:rPr>
          <w:t>15.534</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15.107B</w:t>
        </w:r>
      </w:hyperlink>
      <w:r>
        <w:rPr>
          <w:rFonts w:ascii="Times New Roman" w:hAnsi="Times New Roman"/>
          <w:b w:val="false"/>
          <w:i w:val="false"/>
          <w:color w:val="000000"/>
          <w:sz w:val="22"/>
        </w:rPr>
        <w:t xml:space="preserve">. The authority shall keep confidential any information or record in its possession with respect to the SAF program in accordance with Iowa Code section </w:t>
      </w:r>
      <w:hyperlink r:id="rId6">
        <w:r>
          <w:rPr>
            <w:rStyle w:val="Hyperlink"/>
            <w:rFonts w:ascii="Times New Roman" w:hAnsi="Times New Roman"/>
            <w:b w:val="false"/>
            <w:i w:val="false"/>
            <w:color w:val="000000"/>
            <w:sz w:val="22"/>
          </w:rPr>
          <w:t>15.532(4)</w:t>
        </w:r>
      </w:hyperlink>
      <w:r>
        <w:rPr>
          <w:rFonts w:ascii="Times New Roman" w:hAnsi="Times New Roman"/>
          <w:b w:val="false"/>
          <w:i/>
          <w:color w:val="000000"/>
          <w:sz w:val="22"/>
        </w:rPr>
        <w:t>“a,”</w:t>
      </w:r>
      <w:r>
        <w:rPr>
          <w:rFonts w:ascii="Times New Roman" w:hAnsi="Times New Roman"/>
          <w:b w:val="false"/>
          <w:i w:val="false"/>
          <w:color w:val="000000"/>
          <w:sz w:val="22"/>
        </w:rPr>
        <w:t xml:space="preserve"> except that the identity of a tax credit recipient and the amount of the tax credit shall be considered public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534.pdf" Type="http://schemas.openxmlformats.org/officeDocument/2006/relationships/hyperlink" Id="rId4"/>
    <Relationship TargetMode="External" Target="https://www.legis.iowa.gov/docs/ico/chapter/15.107B.pdf" Type="http://schemas.openxmlformats.org/officeDocument/2006/relationships/hyperlink" Id="rId5"/>
    <Relationship TargetMode="External" Target="https://www.legis.iowa.gov/docs/ico/chapter/15.532.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