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261—80.7</w:t>
      </w:r>
      <w:r>
        <w:rPr>
          <w:rFonts w:ascii="Times New Roman" w:hAnsi="Times New Roman"/>
          <w:b/>
          <w:i w:val="false"/>
          <w:color w:val="000000"/>
          <w:sz w:val="22"/>
        </w:rPr>
        <w:t xml:space="preserve">(15) </w:t>
      </w:r>
      <w:r>
        <w:rPr>
          <w:rFonts w:ascii="Times New Roman" w:hAnsi="Times New Roman"/>
          <w:b/>
          <w:i w:val="false"/>
          <w:color w:val="000000"/>
          <w:sz w:val="22"/>
        </w:rPr>
        <w:t xml:space="preserve">Claiming the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80.7(1)</w:t>
      </w:r>
      <w:r>
        <w:rPr>
          <w:rFonts w:ascii="Times New Roman" w:hAnsi="Times New Roman"/>
          <w:b w:val="false"/>
          <w:i w:val="false"/>
          <w:color w:val="000000"/>
          <w:sz w:val="22"/>
        </w:rPr>
        <w:t> </w:t>
      </w:r>
      <w:r>
        <w:rPr>
          <w:rFonts w:ascii="Times New Roman" w:hAnsi="Times New Roman"/>
          <w:b w:val="false"/>
          <w:i/>
          <w:color w:val="000000"/>
          <w:sz w:val="22"/>
        </w:rPr>
        <w:t xml:space="preserve">Maximum tax credit claimed. </w:t>
      </w:r>
      <w:r>
        <w:rPr>
          <w:rFonts w:ascii="Times New Roman" w:hAnsi="Times New Roman"/>
          <w:b w:val="false"/>
          <w:i w:val="false"/>
          <w:color w:val="000000"/>
          <w:sz w:val="22"/>
        </w:rPr>
        <w:t xml:space="preserve">An eligible business that has entered into an agreement pursuant to rule </w:t>
      </w:r>
      <w:hyperlink r:id="rId4">
        <w:r>
          <w:rPr>
            <w:rStyle w:val="Hyperlink"/>
            <w:rFonts w:ascii="Times New Roman" w:hAnsi="Times New Roman"/>
            <w:b w:val="false"/>
            <w:i w:val="false"/>
            <w:color w:val="000000"/>
            <w:sz w:val="22"/>
          </w:rPr>
          <w:t>261—80.5</w:t>
        </w:r>
      </w:hyperlink>
      <w:r>
        <w:rPr>
          <w:rFonts w:ascii="Times New Roman" w:hAnsi="Times New Roman"/>
          <w:b w:val="false"/>
          <w:i w:val="false"/>
          <w:color w:val="000000"/>
          <w:sz w:val="22"/>
        </w:rPr>
        <w:t xml:space="preserve">(15) and been issued a tax credit certificate pursuant to subrule </w:t>
      </w:r>
      <w:hyperlink r:id="rId5">
        <w:r>
          <w:rPr>
            <w:rStyle w:val="Hyperlink"/>
            <w:rFonts w:ascii="Times New Roman" w:hAnsi="Times New Roman"/>
            <w:b w:val="false"/>
            <w:i w:val="false"/>
            <w:color w:val="000000"/>
            <w:sz w:val="22"/>
          </w:rPr>
          <w:t>80.6(1)</w:t>
        </w:r>
      </w:hyperlink>
      <w:r>
        <w:rPr>
          <w:rFonts w:ascii="Times New Roman" w:hAnsi="Times New Roman"/>
          <w:b w:val="false"/>
          <w:i w:val="false"/>
          <w:color w:val="000000"/>
          <w:sz w:val="22"/>
        </w:rPr>
        <w:t xml:space="preserve"> may claim a tax credit as described in Iowa Code section </w:t>
      </w:r>
      <w:hyperlink r:id="rId6">
        <w:r>
          <w:rPr>
            <w:rStyle w:val="Hyperlink"/>
            <w:rFonts w:ascii="Times New Roman" w:hAnsi="Times New Roman"/>
            <w:b w:val="false"/>
            <w:i w:val="false"/>
            <w:color w:val="000000"/>
            <w:sz w:val="22"/>
          </w:rPr>
          <w:t>15.533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w:t>
      </w:r>
      <w:r>
        <w:rPr>
          <w:rFonts w:ascii="Times New Roman" w:hAnsi="Times New Roman"/>
          <w:b w:val="false"/>
          <w:i w:val="false"/>
          <w:color w:val="000000"/>
          <w:sz w:val="22"/>
        </w:rPr>
        <w:t> </w:t>
      </w:r>
      <w:r>
        <w:rPr>
          <w:rFonts w:ascii="Times New Roman" w:hAnsi="Times New Roman"/>
          <w:b w:val="false"/>
          <w:i/>
          <w:color w:val="000000"/>
          <w:sz w:val="22"/>
        </w:rPr>
        <w:t xml:space="preserve">Claiming the credit. </w:t>
      </w:r>
      <w:r>
        <w:rPr>
          <w:rFonts w:ascii="Times New Roman" w:hAnsi="Times New Roman"/>
          <w:b w:val="false"/>
          <w:i w:val="false"/>
          <w:color w:val="000000"/>
          <w:sz w:val="22"/>
        </w:rPr>
        <w:t>To claim the tax credit, a taxpayer is to include one or more tax credit certificates with the taxpayer’s tax return and otherwise act in accordance with any applicable administrative rules adopted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80.7(3)</w:t>
      </w:r>
      <w:r>
        <w:rPr>
          <w:rFonts w:ascii="Times New Roman" w:hAnsi="Times New Roman"/>
          <w:b w:val="false"/>
          <w:i w:val="false"/>
          <w:color w:val="000000"/>
          <w:sz w:val="22"/>
        </w:rPr>
        <w:t> </w:t>
      </w:r>
      <w:r>
        <w:rPr>
          <w:rFonts w:ascii="Times New Roman" w:hAnsi="Times New Roman"/>
          <w:b w:val="false"/>
          <w:i/>
          <w:color w:val="000000"/>
          <w:sz w:val="22"/>
        </w:rPr>
        <w:t xml:space="preserve">Refundable. </w:t>
      </w:r>
      <w:r>
        <w:rPr>
          <w:rFonts w:ascii="Times New Roman" w:hAnsi="Times New Roman"/>
          <w:b w:val="false"/>
          <w:i w:val="false"/>
          <w:color w:val="000000"/>
          <w:sz w:val="22"/>
        </w:rPr>
        <w:t>Any tax credit in excess of the tax liability is refundable. In lieu of claiming a refund, a taxpayer may elect to have the overpayment shown on the taxpayer’s final, completed return credited to the tax liability for the following tax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1.80.5.pdf" Type="http://schemas.openxmlformats.org/officeDocument/2006/relationships/hyperlink" Id="rId4"/>
    <Relationship TargetMode="External" Target="https://www.legis.iowa.gov/docs/iac/rule/261.80.6.pdf" Type="http://schemas.openxmlformats.org/officeDocument/2006/relationships/hyperlink" Id="rId5"/>
    <Relationship TargetMode="External" Target="https://www.legis.iowa.gov/docs/ico/chapter/15.53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