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261—80.6</w:t>
      </w:r>
      <w:r>
        <w:rPr>
          <w:rFonts w:ascii="Times New Roman" w:hAnsi="Times New Roman"/>
          <w:b/>
          <w:i w:val="false"/>
          <w:color w:val="000000"/>
          <w:sz w:val="22"/>
        </w:rPr>
        <w:t xml:space="preserve">(15) </w:t>
      </w:r>
      <w:r>
        <w:rPr>
          <w:rFonts w:ascii="Times New Roman" w:hAnsi="Times New Roman"/>
          <w:b/>
          <w:i w:val="false"/>
          <w:color w:val="000000"/>
          <w:sz w:val="22"/>
        </w:rPr>
        <w:t xml:space="preserve">Sustainable aviation fuel production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80.6(1)</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tax credit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business that has entered into an agreement pursuant to rule </w:t>
      </w:r>
      <w:hyperlink r:id="rId4">
        <w:r>
          <w:rPr>
            <w:rStyle w:val="Hyperlink"/>
            <w:rFonts w:ascii="Times New Roman" w:hAnsi="Times New Roman"/>
            <w:b w:val="false"/>
            <w:i w:val="false"/>
            <w:color w:val="000000"/>
            <w:sz w:val="22"/>
          </w:rPr>
          <w:t>261—80.5</w:t>
        </w:r>
      </w:hyperlink>
      <w:r>
        <w:rPr>
          <w:rFonts w:ascii="Times New Roman" w:hAnsi="Times New Roman"/>
          <w:b w:val="false"/>
          <w:i w:val="false"/>
          <w:color w:val="000000"/>
          <w:sz w:val="22"/>
        </w:rPr>
        <w:t xml:space="preserve">(15) may be issued a tax credit certificate in an amount calculated as described in Iowa Code section </w:t>
      </w:r>
      <w:hyperlink r:id="rId5">
        <w:r>
          <w:rPr>
            <w:rStyle w:val="Hyperlink"/>
            <w:rFonts w:ascii="Times New Roman" w:hAnsi="Times New Roman"/>
            <w:b w:val="false"/>
            <w:i w:val="false"/>
            <w:color w:val="000000"/>
            <w:sz w:val="22"/>
          </w:rPr>
          <w:t>15.533(1)</w:t>
        </w:r>
      </w:hyperlink>
      <w:r>
        <w:rPr>
          <w:rFonts w:ascii="Times New Roman" w:hAnsi="Times New Roman"/>
          <w:b w:val="false"/>
          <w:i w:val="false"/>
          <w:color w:val="000000"/>
          <w:sz w:val="22"/>
        </w:rPr>
        <w:t xml:space="preserve">. The tax credit certificate shall contain the information required by Iowa Code section </w:t>
      </w:r>
      <w:hyperlink r:id="rId6">
        <w:r>
          <w:rPr>
            <w:rStyle w:val="Hyperlink"/>
            <w:rFonts w:ascii="Times New Roman" w:hAnsi="Times New Roman"/>
            <w:b w:val="false"/>
            <w:i w:val="false"/>
            <w:color w:val="000000"/>
            <w:sz w:val="22"/>
          </w:rPr>
          <w:t>15.533(6)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any other information required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business has facilities located in more than one state, only the sustainable aviation fuel produced at facilities physically located in the state of Iowa may be counted for the purpose of calculating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same eligible business has an ownership or equity interest in multiple facilities at which sustainable aviation fuel is produced, the facilities under common ownership will be considered a single eligible business for purposes of calculating the maximum tax credit amount. In calculating the maximum tax credit amount, only the pro rata share of each eligible business’s ownership in a facility will be attributed to that eligible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amount of tax credit that may be issued under the SAF program to an eligible business for the production of sustainable aviation fuel in a calendar year shall not exceed the amount authorized by Iowa Code section </w:t>
      </w:r>
      <w:hyperlink r:id="rId7">
        <w:r>
          <w:rPr>
            <w:rStyle w:val="Hyperlink"/>
            <w:rFonts w:ascii="Times New Roman" w:hAnsi="Times New Roman"/>
            <w:b w:val="false"/>
            <w:i w:val="false"/>
            <w:color w:val="000000"/>
            <w:sz w:val="22"/>
          </w:rPr>
          <w:t>15.533(7)</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w:t>
      </w:r>
      <w:r>
        <w:rPr>
          <w:rFonts w:ascii="Times New Roman" w:hAnsi="Times New Roman"/>
          <w:b w:val="false"/>
          <w:i w:val="false"/>
          <w:color w:val="000000"/>
          <w:sz w:val="22"/>
        </w:rPr>
        <w:t> </w:t>
      </w:r>
      <w:r>
        <w:rPr>
          <w:rFonts w:ascii="Times New Roman" w:hAnsi="Times New Roman"/>
          <w:b w:val="false"/>
          <w:i/>
          <w:color w:val="000000"/>
          <w:sz w:val="22"/>
        </w:rPr>
        <w:t xml:space="preserve">Eligible production years only. </w:t>
      </w:r>
      <w:r>
        <w:rPr>
          <w:rFonts w:ascii="Times New Roman" w:hAnsi="Times New Roman"/>
          <w:b w:val="false"/>
          <w:i w:val="false"/>
          <w:color w:val="000000"/>
          <w:sz w:val="22"/>
        </w:rPr>
        <w:t>An eligible business shall not receive a tax credit for sustainable aviation fuel produced before the 2026 calendar year or after the 2035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credits. </w:t>
      </w:r>
      <w:r>
        <w:rPr>
          <w:rFonts w:ascii="Times New Roman" w:hAnsi="Times New Roman"/>
          <w:b w:val="false"/>
          <w:i w:val="false"/>
          <w:color w:val="000000"/>
          <w:sz w:val="22"/>
        </w:rPr>
        <w:t xml:space="preserve">An eligible business shall not receive more tax credit certificates under the SAF program than the number specified in Iowa Code section </w:t>
      </w:r>
      <w:hyperlink r:id="rId8">
        <w:r>
          <w:rPr>
            <w:rStyle w:val="Hyperlink"/>
            <w:rFonts w:ascii="Times New Roman" w:hAnsi="Times New Roman"/>
            <w:b w:val="false"/>
            <w:i w:val="false"/>
            <w:color w:val="000000"/>
            <w:sz w:val="22"/>
          </w:rPr>
          <w:t>15.533(7)</w:t>
        </w:r>
      </w:hyperlink>
      <w:r>
        <w:rPr>
          <w:rFonts w:ascii="Times New Roman" w:hAnsi="Times New Roman"/>
          <w:b w:val="false"/>
          <w:i/>
          <w:color w:val="000000"/>
          <w:sz w:val="22"/>
        </w:rPr>
        <w:t>“b”</w:t>
      </w:r>
      <w:r>
        <w:rPr>
          <w:rFonts w:ascii="Times New Roman" w:hAnsi="Times New Roman"/>
          <w:b w:val="false"/>
          <w:i w:val="false"/>
          <w:color w:val="000000"/>
          <w:sz w:val="22"/>
        </w:rPr>
        <w:t>(2). Each tax credit must be applied for separately, and each application will be reviewed independently of past tax credits. Receipt of a tax credit in one year does not guarantee receipt of a tax credit in a subsequent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80.6(4)</w:t>
      </w:r>
      <w:r>
        <w:rPr>
          <w:rFonts w:ascii="Times New Roman" w:hAnsi="Times New Roman"/>
          <w:b w:val="false"/>
          <w:i w:val="false"/>
          <w:color w:val="000000"/>
          <w:sz w:val="22"/>
        </w:rPr>
        <w:t> </w:t>
      </w:r>
      <w:r>
        <w:rPr>
          <w:rFonts w:ascii="Times New Roman" w:hAnsi="Times New Roman"/>
          <w:b w:val="false"/>
          <w:i/>
          <w:color w:val="000000"/>
          <w:sz w:val="22"/>
        </w:rPr>
        <w:t xml:space="preserve">Nontransferable. </w:t>
      </w:r>
      <w:r>
        <w:rPr>
          <w:rFonts w:ascii="Times New Roman" w:hAnsi="Times New Roman"/>
          <w:b w:val="false"/>
          <w:i w:val="false"/>
          <w:color w:val="000000"/>
          <w:sz w:val="22"/>
        </w:rPr>
        <w:t>The tax credit certificates are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w:t>
      </w:r>
      <w:r>
        <w:rPr>
          <w:rFonts w:ascii="Times New Roman" w:hAnsi="Times New Roman"/>
          <w:b w:val="false"/>
          <w:i w:val="false"/>
          <w:color w:val="000000"/>
          <w:sz w:val="22"/>
        </w:rPr>
        <w:t> </w:t>
      </w:r>
      <w:r>
        <w:rPr>
          <w:rFonts w:ascii="Times New Roman" w:hAnsi="Times New Roman"/>
          <w:b w:val="false"/>
          <w:i/>
          <w:color w:val="000000"/>
          <w:sz w:val="22"/>
        </w:rPr>
        <w:t xml:space="preserve">Termination and repayment. </w:t>
      </w:r>
      <w:r>
        <w:rPr>
          <w:rFonts w:ascii="Times New Roman" w:hAnsi="Times New Roman"/>
          <w:b w:val="false"/>
          <w:i w:val="false"/>
          <w:color w:val="000000"/>
          <w:sz w:val="22"/>
        </w:rPr>
        <w:t xml:space="preserve">Tax credits may be reduced, terminated, or rescinded pursuant to Iowa Code section </w:t>
      </w:r>
      <w:hyperlink r:id="rId9">
        <w:r>
          <w:rPr>
            <w:rStyle w:val="Hyperlink"/>
            <w:rFonts w:ascii="Times New Roman" w:hAnsi="Times New Roman"/>
            <w:b w:val="false"/>
            <w:i w:val="false"/>
            <w:color w:val="000000"/>
            <w:sz w:val="22"/>
          </w:rPr>
          <w:t>15.532(3)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1.80.5.pdf" Type="http://schemas.openxmlformats.org/officeDocument/2006/relationships/hyperlink" Id="rId4"/>
    <Relationship TargetMode="External" Target="https://www.legis.iowa.gov/docs/ico/chapter/15.533.pdf" Type="http://schemas.openxmlformats.org/officeDocument/2006/relationships/hyperlink" Id="rId5"/>
    <Relationship TargetMode="External" Target="https://www.legis.iowa.gov/docs/ico/chapter/15.533.pdf" Type="http://schemas.openxmlformats.org/officeDocument/2006/relationships/hyperlink" Id="rId6"/>
    <Relationship TargetMode="External" Target="https://www.legis.iowa.gov/docs/ico/chapter/15.533.pdf" Type="http://schemas.openxmlformats.org/officeDocument/2006/relationships/hyperlink" Id="rId7"/>
    <Relationship TargetMode="External" Target="https://www.legis.iowa.gov/docs/ico/chapter/15.533.pdf" Type="http://schemas.openxmlformats.org/officeDocument/2006/relationships/hyperlink" Id="rId8"/>
    <Relationship TargetMode="External" Target="https://www.legis.iowa.gov/docs/ico/chapter/15.53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