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261—80.4</w:t>
      </w:r>
      <w:r>
        <w:rPr>
          <w:rFonts w:ascii="Times New Roman" w:hAnsi="Times New Roman"/>
          <w:b/>
          <w:i w:val="false"/>
          <w:color w:val="000000"/>
          <w:sz w:val="22"/>
        </w:rPr>
        <w:t xml:space="preserve">(15) </w:t>
      </w:r>
      <w:r>
        <w:rPr>
          <w:rFonts w:ascii="Times New Roman" w:hAnsi="Times New Roman"/>
          <w:b/>
          <w:i w:val="false"/>
          <w:color w:val="000000"/>
          <w:sz w:val="22"/>
        </w:rPr>
        <w:t xml:space="preserve">Application process and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80.4(1)</w:t>
      </w:r>
      <w:r>
        <w:rPr>
          <w:rFonts w:ascii="Times New Roman" w:hAnsi="Times New Roman"/>
          <w:b w:val="false"/>
          <w:i w:val="false"/>
          <w:color w:val="000000"/>
          <w:sz w:val="22"/>
        </w:rPr>
        <w:t> </w:t>
      </w:r>
      <w:r>
        <w:rPr>
          <w:rFonts w:ascii="Times New Roman" w:hAnsi="Times New Roman"/>
          <w:b w:val="false"/>
          <w:i w:val="false"/>
          <w:color w:val="000000"/>
          <w:sz w:val="22"/>
        </w:rPr>
        <w:t>Applications for tax credits may be submitted to the authority electronically by an eligible business from February 15 to March 15 of each calendar year, beginning February 15, 2027. The authority may adjust the annual application period under extenuating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application shall include the following information, including all information required by Iowa Code section </w:t>
      </w:r>
      <w:hyperlink r:id="rId4">
        <w:r>
          <w:rPr>
            <w:rStyle w:val="Hyperlink"/>
            <w:rFonts w:ascii="Times New Roman" w:hAnsi="Times New Roman"/>
            <w:b w:val="false"/>
            <w:i w:val="false"/>
            <w:color w:val="000000"/>
            <w:sz w:val="22"/>
          </w:rPr>
          <w:t>15.532(1)</w:t>
        </w:r>
      </w:hyperlink>
      <w:r>
        <w:rPr>
          <w:rFonts w:ascii="Times New Roman" w:hAnsi="Times New Roman"/>
          <w:b w:val="false"/>
          <w:i/>
          <w:color w:val="000000"/>
          <w:sz w:val="22"/>
        </w:rPr>
        <w:t>“e”</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amount of sustainable aviation fuel produced in the state of Iowa from feedstock by the eligible business during the immediately previous calendar year, measured in gallons.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Documentation that sustainable aviation fuel achieves at least a 50 percent life cycle greenhouse gas emissions reduction as determined by either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method described in Iowa Code section </w:t>
      </w:r>
      <w:hyperlink r:id="rId5">
        <w:r>
          <w:rPr>
            <w:rStyle w:val="Hyperlink"/>
            <w:rFonts w:ascii="Times New Roman" w:hAnsi="Times New Roman"/>
            <w:b w:val="false"/>
            <w:i w:val="false"/>
            <w:color w:val="000000"/>
            <w:sz w:val="22"/>
          </w:rPr>
          <w:t>15.531(5)</w:t>
        </w:r>
      </w:hyperlink>
      <w:r>
        <w:rPr>
          <w:rFonts w:ascii="Times New Roman" w:hAnsi="Times New Roman"/>
          <w:b w:val="false"/>
          <w:i/>
          <w:color w:val="000000"/>
          <w:sz w:val="22"/>
        </w:rPr>
        <w:t>“a”</w:t>
      </w:r>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method described in Iowa Code section </w:t>
      </w:r>
      <w:hyperlink r:id="rId6">
        <w:r>
          <w:rPr>
            <w:rStyle w:val="Hyperlink"/>
            <w:rFonts w:ascii="Times New Roman" w:hAnsi="Times New Roman"/>
            <w:b w:val="false"/>
            <w:i w:val="false"/>
            <w:color w:val="000000"/>
            <w:sz w:val="22"/>
          </w:rPr>
          <w:t>15.531(5)</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Acceptable documentation includes but is not limited to fuel testing conducted by the Iowa Central Fuel Testing Laboratory in Fort Dodge,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types and sources of feedstock used to produce sustainable aviation fuel, documented in sufficient detail to allow the authority to verify that such feedstock was processed or refined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city or county where the plant producing sustainable aviation fuel is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date on which the eligible business organized, expanded or located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other information reasonably required by the authority in order to establish and verify that the applicant is an eligible business and the amount of the tax credit under the SAF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80.4(3)</w:t>
      </w:r>
      <w:r>
        <w:rPr>
          <w:rFonts w:ascii="Times New Roman" w:hAnsi="Times New Roman"/>
          <w:b w:val="false"/>
          <w:i w:val="false"/>
          <w:color w:val="000000"/>
          <w:sz w:val="22"/>
        </w:rPr>
        <w:t> </w:t>
      </w:r>
      <w:r>
        <w:rPr>
          <w:rFonts w:ascii="Times New Roman" w:hAnsi="Times New Roman"/>
          <w:b w:val="false"/>
          <w:i w:val="false"/>
          <w:color w:val="000000"/>
          <w:sz w:val="22"/>
        </w:rPr>
        <w:t>Applications will be reviewed and scored on a competitive basis by a review committee established by the authority. If the authority deems that additional information is needed before reviewing and scoring can be completed, and the authority makes a written request for additional information from the applicant, the applicant must provide the requested information within 30 days of the date that the written request from the authority was made. If an applicant does not provide the requested information within 30 days, the application may be denied by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80.4(4)</w:t>
      </w:r>
      <w:r>
        <w:rPr>
          <w:rFonts w:ascii="Times New Roman" w:hAnsi="Times New Roman"/>
          <w:b w:val="false"/>
          <w:i w:val="false"/>
          <w:color w:val="000000"/>
          <w:sz w:val="22"/>
        </w:rPr>
        <w:t> </w:t>
      </w:r>
      <w:r>
        <w:rPr>
          <w:rFonts w:ascii="Times New Roman" w:hAnsi="Times New Roman"/>
          <w:b w:val="false"/>
          <w:i w:val="false"/>
          <w:color w:val="000000"/>
          <w:sz w:val="22"/>
        </w:rPr>
        <w:t>Applications determined by the authority to be complete and eligible will be reviewed and scored using criteria established by the authority to evaluate the economic impact of an eligible business’s production of sustainable aviation fuel.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80.4(5)</w:t>
      </w:r>
      <w:r>
        <w:rPr>
          <w:rFonts w:ascii="Times New Roman" w:hAnsi="Times New Roman"/>
          <w:b w:val="false"/>
          <w:i w:val="false"/>
          <w:color w:val="000000"/>
          <w:sz w:val="22"/>
        </w:rPr>
        <w:t> </w:t>
      </w:r>
      <w:r>
        <w:rPr>
          <w:rFonts w:ascii="Times New Roman" w:hAnsi="Times New Roman"/>
          <w:b w:val="false"/>
          <w:i w:val="false"/>
          <w:color w:val="000000"/>
          <w:sz w:val="22"/>
        </w:rPr>
        <w:t>The authority will notify an applicant when the applicant has been approved or denied by the director to receive a tax credit.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0258D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5.532.pdf" Type="http://schemas.openxmlformats.org/officeDocument/2006/relationships/hyperlink" Id="rId4"/>
    <Relationship TargetMode="External" Target="https://www.legis.iowa.gov/docs/ico/chapter/15.531.pdf" Type="http://schemas.openxmlformats.org/officeDocument/2006/relationships/hyperlink" Id="rId5"/>
    <Relationship TargetMode="External" Target="https://www.legis.iowa.gov/docs/ico/chapter/15.531.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