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261—80.3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Eligibility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be eligible to receive the sustainable aviation fuel production tax credit pursuant to the SAF program, a business shall meet all of the eligibility requirements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15.532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Additionally, a foreign business shall demonstrate that it is not associated with a foreign adversary or foreign adversary entity.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0258D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5.532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