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351—6.9</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or leases by members of the office of the governor.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A permanent full-time member of the office of the governor will not directly or indirectly sell or lease any goods or services to registered lobbyists before the general assembly or the executive branch or to individuals, associations, or corporations that employ persons who are registered lobbyists before the general assembly or the executive branch except as provided in Iowa Code section </w:t>
      </w:r>
      <w:hyperlink r:id="rId4">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and this rule. This prohibition does not apply to sales or leases that are part of the member’s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A request submitted by a member of the office of the governor for consent to sell or lease goods or services will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will be in writing and will be filed at least 20 calendar days in advance of the proposed sale or lease of any goods or services with the person responsible for hiring or approving the hiring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lobbyist, individual, association, or corporation to which the goods or services are to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lobbyist, individual, association, or corporation to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or dates that the goods or services will be delivered;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by the member explaining how the proposed sale or lease of the goods or services will not violate the provisions of Iowa Code section </w:t>
      </w:r>
      <w:hyperlink r:id="rId5">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or create a conflict of interest under Iowa Code section </w:t>
      </w:r>
      <w:hyperlink r:id="rId6">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color w:val="000000"/>
          <w:sz w:val="22"/>
        </w:rPr>
        <w:t xml:space="preserve">Guidelines for granting consent. </w:t>
      </w:r>
      <w:r>
        <w:rPr>
          <w:rFonts w:ascii="Times New Roman" w:hAnsi="Times New Roman"/>
          <w:b w:val="false"/>
          <w:i w:val="false"/>
          <w:color w:val="000000"/>
          <w:sz w:val="22"/>
        </w:rPr>
        <w:t>In determining whether to grant consent, the person responsible for hiring or approving the hiring of the member will take the following guidelines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duties and functions performed by the member are not related to the authority of the office of the governor over the lobbyist,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goods or services by the member to the lobbyist, individual, association, or corporation does not affect the member’s duties or functions at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any goods or services by the member to a lobbyist, individual, association, or corporation does not include lobbying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any goods or services by the member does not cause the member to sell or lease goods or services to the office of the governor on behalf of the lobbyist,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selling or leasing of the goods or services will not result in a conflict of interest as provided in Iowa Code section </w:t>
      </w:r>
      <w:hyperlink r:id="rId7">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complies with the procedural requirements of subrule </w:t>
      </w:r>
      <w:hyperlink r:id="rId8">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blanket consent may be granted for sales or leases to classes of lobbyists, individuals, associations, or corporations when such blanket consent is consistent with subrule </w:t>
      </w:r>
      <w:hyperlink r:id="rId9">
        <w:r>
          <w:rPr>
            <w:rStyle w:val="Hyperlink"/>
            <w:rFonts w:ascii="Times New Roman" w:hAnsi="Times New Roman"/>
            <w:b w:val="false"/>
            <w:i w:val="false"/>
            <w:color w:val="000000"/>
            <w:sz w:val="22"/>
          </w:rPr>
          <w:t>6.9(3)</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These guidelines will be publicized and made known to members of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person responsible for hiring or approving the hiring of the member will issue a written consent or denial within 14 calendar days following the date the request was filed. The deadline may be extended by agreement of both the member and the person. If the request is denied, the person will state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 xml:space="preserve">A member who receives a denial may file a request with the board for a contested case proceeding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a determination of whether the situation described in the request complies with the requirements of Iowa Code chapter </w:t>
      </w:r>
      <w:hyperlink r:id="rId1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The final order of the board constitutes final agency action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w:t>
      </w:r>
      <w:r>
        <w:rPr>
          <w:rFonts w:ascii="Times New Roman" w:hAnsi="Times New Roman"/>
          <w:b w:val="false"/>
          <w:i w:val="false"/>
          <w:color w:val="000000"/>
          <w:sz w:val="22"/>
        </w:rPr>
        <w:t> </w:t>
      </w:r>
      <w:r>
        <w:rPr>
          <w:rFonts w:ascii="Times New Roman" w:hAnsi="Times New Roman"/>
          <w:b w:val="false"/>
          <w:i/>
          <w:color w:val="000000"/>
          <w:sz w:val="22"/>
        </w:rPr>
        <w:t xml:space="preserve">Copy of consent filed with board. </w:t>
      </w:r>
      <w:r>
        <w:rPr>
          <w:rFonts w:ascii="Times New Roman" w:hAnsi="Times New Roman"/>
          <w:b w:val="false"/>
          <w:i w:val="false"/>
          <w:color w:val="000000"/>
          <w:sz w:val="22"/>
        </w:rPr>
        <w:t>A copy of the consent granted to a member will be filed with the board within 20 days of the granting of consent. The board will treat the consent as a public record. The failure to provide a copy of the consent may result in the imposition of board sanctions against the person who granted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w:t>
      </w:r>
      <w:r>
        <w:rPr>
          <w:rFonts w:ascii="Times New Roman" w:hAnsi="Times New Roman"/>
          <w:b w:val="false"/>
          <w:i w:val="false"/>
          <w:color w:val="000000"/>
          <w:sz w:val="22"/>
        </w:rPr>
        <w:t> </w:t>
      </w:r>
      <w:r>
        <w:rPr>
          <w:rFonts w:ascii="Times New Roman" w:hAnsi="Times New Roman"/>
          <w:b w:val="false"/>
          <w:i/>
          <w:color w:val="000000"/>
          <w:sz w:val="22"/>
        </w:rPr>
        <w:t xml:space="preserve">Consent not a defense. </w:t>
      </w:r>
      <w:r>
        <w:rPr>
          <w:rFonts w:ascii="Times New Roman" w:hAnsi="Times New Roman"/>
          <w:b w:val="false"/>
          <w:i w:val="false"/>
          <w:color w:val="000000"/>
          <w:sz w:val="22"/>
        </w:rPr>
        <w:t>Consent granted under this rule will not constitute a defense to a complaint alleging a violation of any law or rule. It is the responsibility of the member of the office of the governor to ensure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4B.pdf" Type="http://schemas.openxmlformats.org/officeDocument/2006/relationships/hyperlink" Id="rId4"/>
    <Relationship TargetMode="External" Target="https://www.legis.iowa.gov/docs/ico/chapter/68B.4B.pdf" Type="http://schemas.openxmlformats.org/officeDocument/2006/relationships/hyperlink" Id="rId5"/>
    <Relationship TargetMode="External" Target="https://www.legis.iowa.gov/docs/ico/chapter/68B.2A.pdf" Type="http://schemas.openxmlformats.org/officeDocument/2006/relationships/hyperlink" Id="rId6"/>
    <Relationship TargetMode="External" Target="https://www.legis.iowa.gov/docs/ico/chapter/68B.2A.pdf" Type="http://schemas.openxmlformats.org/officeDocument/2006/relationships/hyperlink" Id="rId7"/>
    <Relationship TargetMode="External" Target="https://www.legis.iowa.gov/docs/iac/rule/351.6.9.pdf" Type="http://schemas.openxmlformats.org/officeDocument/2006/relationships/hyperlink" Id="rId8"/>
    <Relationship TargetMode="External" Target="https://www.legis.iowa.gov/docs/iac/rule/351.6.9.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68B.pdf" Type="http://schemas.openxmlformats.org/officeDocument/2006/relationships/hyperlink" Id="rId11"/>
    <Relationship TargetMode="External" Target="https://www.legis.iowa.gov/docs/ico/chapter/68B.4B.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