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351—6.8</w:t>
      </w:r>
      <w:r>
        <w:rPr>
          <w:rFonts w:ascii="Times New Roman" w:hAnsi="Times New Roman"/>
          <w:b/>
          <w:i w:val="false"/>
          <w:color w:val="000000"/>
          <w:sz w:val="22"/>
        </w:rPr>
        <w:t xml:space="preserve">(68B) </w:t>
      </w:r>
      <w:r>
        <w:rPr>
          <w:rFonts w:ascii="Times New Roman" w:hAnsi="Times New Roman"/>
          <w:b/>
          <w:i w:val="false"/>
          <w:color w:val="000000"/>
          <w:sz w:val="22"/>
        </w:rPr>
        <w:t xml:space="preserve">Sales or leases by regulatory agency officials or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 xml:space="preserve">An official or employee of a regulatory agency will not directly or indirectly sell or lease any goods, real estate, or services to individuals, associations, or corporations subject to the regulatory authority of the official’s or employee’s agency except as provided by Iowa Code section </w:t>
      </w:r>
      <w:hyperlink r:id="rId4">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this rule. This prohibition does not apply to sales or leases that are part of the official’s or employee’s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a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means an employee of an executive branch regulatory agency and does not include an independent contractor or an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statewide elected official of a regulatory agency, an executive or administrative head or heads of a regulatory agency, a deputy executive or administrative head or heads of a regulatory agency, a member of a board or commission as defined under Iowa Code section </w:t>
      </w:r>
      <w:hyperlink r:id="rId5">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or a head of a major subunit of a regulatory agency whose position involves a substantial exercise of administrative discretion or the expenditure of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“Regulatory agency”</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agriculture and land stewardship; department of workforce development; department of insurance and financial services; department of public safety; department of education; state board of regents; department of health and human services; department of revenue; department of inspections, appeals, and licensing; department of administrative services; public employment relations board; department of transportation; civil rights commission; department of public defense; department of homeland security and emergency management; Iowa ethics and campaign disclosure board; utilities commission; and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color w:val="000000"/>
          <w:sz w:val="22"/>
        </w:rPr>
        <w:t xml:space="preserve">Request for consent. </w:t>
      </w:r>
      <w:r>
        <w:rPr>
          <w:rFonts w:ascii="Times New Roman" w:hAnsi="Times New Roman"/>
          <w:b w:val="false"/>
          <w:i w:val="false"/>
          <w:color w:val="000000"/>
          <w:sz w:val="22"/>
        </w:rPr>
        <w:t>An official’s or employee’s request for an agency’s consent to the sale or lease of goods, real estate, or services will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will be in writing and will be filed with the official’s or employee’s agency at least 20 calendar days in advance of the proposed sale or lease of any goods, real estate,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association, or corporation to which the goods, real estate, or services are to be sold or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individual, association, or corporation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goods, real estate,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or dates that the goods, real estate, or services will be delivered;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by the official or employee explaining how the proposed sale or lease of the goods, real estate, or services will not violate the provisions of Iowa Code section </w:t>
      </w:r>
      <w:hyperlink r:id="rId6">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or create a conflict of interest under Iowa Code section </w:t>
      </w:r>
      <w:hyperlink r:id="rId7">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w:t>
      </w:r>
      <w:r>
        <w:rPr>
          <w:rFonts w:ascii="Times New Roman" w:hAnsi="Times New Roman"/>
          <w:b w:val="false"/>
          <w:i w:val="false"/>
          <w:color w:val="000000"/>
          <w:sz w:val="22"/>
        </w:rPr>
        <w:t> </w:t>
      </w:r>
      <w:r>
        <w:rPr>
          <w:rFonts w:ascii="Times New Roman" w:hAnsi="Times New Roman"/>
          <w:b w:val="false"/>
          <w:i/>
          <w:color w:val="000000"/>
          <w:sz w:val="22"/>
        </w:rPr>
        <w:t xml:space="preserve">Agency guidelines.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the guidelines in this subrule will be the sole legal authorities to be used by an agency in considering the granting of consent. In determining whether to grant consent, the agency will take the following guidelines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official or employee seeking consent is not the person with the authority to determine whether consent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duties and functions performed by the official or employee seeking consent are not related to the regulatory authority of the agency over the individual, association, or corporation to which the goods, real estate, or services will be sold or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the goods, real estate, or services does not affect the official’s or employee’s duties or functions at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the goods, real estate, or services will not cause the official or employee to advocate on behalf of the individual, association, or corporation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the goods, real estate, or services does not cause the official or employee to sell or lease goods, real estate, or services to the agency on behalf of the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selling or leasing of the goods, real estate, or services will not result in a conflict of interest as provided in Iowa Code section </w:t>
      </w:r>
      <w:hyperlink r:id="rId9">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complies with the procedural requirements of subrule </w:t>
      </w:r>
      <w:hyperlink r:id="rId10">
        <w:r>
          <w:rPr>
            <w:rStyle w:val="Hyperlink"/>
            <w:rFonts w:ascii="Times New Roman" w:hAnsi="Times New Roman"/>
            <w:b w:val="false"/>
            <w:i w:val="false"/>
            <w:color w:val="000000"/>
            <w:sz w:val="22"/>
          </w:rPr>
          <w:t>6.8(3)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regulatory agency may grant blanket consent for sales or leases to classes of individuals, associations, or persons when such blanket consent is consistent with subrule </w:t>
      </w:r>
      <w:hyperlink r:id="rId11">
        <w:r>
          <w:rPr>
            <w:rStyle w:val="Hyperlink"/>
            <w:rFonts w:ascii="Times New Roman" w:hAnsi="Times New Roman"/>
            <w:b w:val="false"/>
            <w:i w:val="false"/>
            <w:color w:val="000000"/>
            <w:sz w:val="22"/>
          </w:rPr>
          <w:t>6.8(4)</w:t>
        </w:r>
      </w:hyperlink>
      <w:r>
        <w:rPr>
          <w:rFonts w:ascii="Times New Roman" w:hAnsi="Times New Roman"/>
          <w:b w:val="false"/>
          <w:i w:val="false"/>
          <w:color w:val="000000"/>
          <w:sz w:val="22"/>
        </w:rPr>
        <w:t xml:space="preserve"> and the granting of single consents is impractical or impossible to determine.</w:t>
      </w:r>
    </w:p>
    <w:p>
      <w:pPr>
        <w:spacing w:before="0" w:after="0"/>
        <w:ind w:left="120"/>
        <w:jc w:val="both"/>
      </w:pPr>
      <w:r>
        <w:rPr>
          <w:rFonts w:ascii="Times New Roman" w:hAnsi="Times New Roman"/>
          <w:b w:val="false"/>
          <w:i w:val="false"/>
          <w:color w:val="000000"/>
          <w:sz w:val="22"/>
        </w:rPr>
        <w:t>These guidelines will be publicized and made known to all personnel throughout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w:t>
      </w:r>
      <w:r>
        <w:rPr>
          <w:rFonts w:ascii="Times New Roman" w:hAnsi="Times New Roman"/>
          <w:b w:val="false"/>
          <w:i w:val="false"/>
          <w:color w:val="000000"/>
          <w:sz w:val="22"/>
        </w:rPr>
        <w:t> </w:t>
      </w:r>
      <w:r>
        <w:rPr>
          <w:rFonts w:ascii="Times New Roman" w:hAnsi="Times New Roman"/>
          <w:b w:val="false"/>
          <w:i/>
          <w:color w:val="000000"/>
          <w:sz w:val="22"/>
        </w:rPr>
        <w:t xml:space="preserve">Agency decision. </w:t>
      </w:r>
      <w:r>
        <w:rPr>
          <w:rFonts w:ascii="Times New Roman" w:hAnsi="Times New Roman"/>
          <w:b w:val="false"/>
          <w:i w:val="false"/>
          <w:color w:val="000000"/>
          <w:sz w:val="22"/>
        </w:rPr>
        <w:t>The official’s or employee’s agency will issue a written consent or denial within 14 calendar days following the date the request was filed. The deadline may be extended by agreement of both the official or employee and the agency. If the request is denied or granted conditionally, the agency will state the reasons for the denial or conditional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w:t>
      </w:r>
      <w:r>
        <w:rPr>
          <w:rFonts w:ascii="Times New Roman" w:hAnsi="Times New Roman"/>
          <w:b w:val="false"/>
          <w:i w:val="false"/>
          <w:color w:val="000000"/>
          <w:sz w:val="22"/>
        </w:rPr>
        <w:t xml:space="preserve">An official or employee who receives a denial or conditional consent may file a request with the board for a contested case proceeding pursuant to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for a determination of whether the situation described in the request complies with the requirements of Iowa Code section </w:t>
      </w:r>
      <w:hyperlink r:id="rId13">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this rule. The final order of the board constitutes final agency action for purposes of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6.8(7)</w:t>
      </w:r>
      <w:r>
        <w:rPr>
          <w:rFonts w:ascii="Times New Roman" w:hAnsi="Times New Roman"/>
          <w:b w:val="false"/>
          <w:i w:val="false"/>
          <w:color w:val="000000"/>
          <w:sz w:val="22"/>
        </w:rPr>
        <w:t> </w:t>
      </w:r>
      <w:r>
        <w:rPr>
          <w:rFonts w:ascii="Times New Roman" w:hAnsi="Times New Roman"/>
          <w:b w:val="false"/>
          <w:i/>
          <w:color w:val="000000"/>
          <w:sz w:val="22"/>
        </w:rPr>
        <w:t xml:space="preserve">Copy of consent filed with board. </w:t>
      </w:r>
      <w:r>
        <w:rPr>
          <w:rFonts w:ascii="Times New Roman" w:hAnsi="Times New Roman"/>
          <w:b w:val="false"/>
          <w:i w:val="false"/>
          <w:color w:val="000000"/>
          <w:sz w:val="22"/>
        </w:rPr>
        <w:t xml:space="preserve">Pursuant to Iowa Code section </w:t>
      </w:r>
      <w:hyperlink r:id="rId15">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an agency granting consent will file a copy of the consent with the board within 20 days of the granting of consent. The board will treat the consent as a public record. The failure to provide a copy of the consent may result in the imposition of board sanctions against the individual who granted the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6.8(8)</w:t>
      </w:r>
      <w:r>
        <w:rPr>
          <w:rFonts w:ascii="Times New Roman" w:hAnsi="Times New Roman"/>
          <w:b w:val="false"/>
          <w:i w:val="false"/>
          <w:color w:val="000000"/>
          <w:sz w:val="22"/>
        </w:rPr>
        <w:t> </w:t>
      </w:r>
      <w:r>
        <w:rPr>
          <w:rFonts w:ascii="Times New Roman" w:hAnsi="Times New Roman"/>
          <w:b w:val="false"/>
          <w:i/>
          <w:color w:val="000000"/>
          <w:sz w:val="22"/>
        </w:rPr>
        <w:t xml:space="preserve">Consent not a defense. </w:t>
      </w:r>
      <w:r>
        <w:rPr>
          <w:rFonts w:ascii="Times New Roman" w:hAnsi="Times New Roman"/>
          <w:b w:val="false"/>
          <w:i w:val="false"/>
          <w:color w:val="000000"/>
          <w:sz w:val="22"/>
        </w:rPr>
        <w:t>Consent granted by an agency under this rule will not constitute a defense to a complaint alleging a violation of any law or rule. It is the responsibility of the official or employee to ensure compliance with all applicable laws and rules.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8B.4.pdf" Type="http://schemas.openxmlformats.org/officeDocument/2006/relationships/hyperlink" Id="rId4"/>
    <Relationship TargetMode="External" Target="https://www.legis.iowa.gov/docs/ico/chapter/7E.4.pdf" Type="http://schemas.openxmlformats.org/officeDocument/2006/relationships/hyperlink" Id="rId5"/>
    <Relationship TargetMode="External" Target="https://www.legis.iowa.gov/docs/ico/chapter/68B.4.pdf" Type="http://schemas.openxmlformats.org/officeDocument/2006/relationships/hyperlink" Id="rId6"/>
    <Relationship TargetMode="External" Target="https://www.legis.iowa.gov/docs/ico/chapter/68B.2A.pdf" Type="http://schemas.openxmlformats.org/officeDocument/2006/relationships/hyperlink" Id="rId7"/>
    <Relationship TargetMode="External" Target="https://www.legis.iowa.gov/docs/ico/chapter/68B.4.pdf" Type="http://schemas.openxmlformats.org/officeDocument/2006/relationships/hyperlink" Id="rId8"/>
    <Relationship TargetMode="External" Target="https://www.legis.iowa.gov/docs/ico/chapter/68B.2A.pdf" Type="http://schemas.openxmlformats.org/officeDocument/2006/relationships/hyperlink" Id="rId9"/>
    <Relationship TargetMode="External" Target="https://www.legis.iowa.gov/docs/iac/rule/351.6.8.pdf" Type="http://schemas.openxmlformats.org/officeDocument/2006/relationships/hyperlink" Id="rId10"/>
    <Relationship TargetMode="External" Target="https://www.legis.iowa.gov/docs/iac/rule/351.6.8.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68B.2A.pdf" Type="http://schemas.openxmlformats.org/officeDocument/2006/relationships/hyperlink" Id="rId13"/>
    <Relationship TargetMode="External" Target="https://www.legis.iowa.gov/docs/ico/chapter/68B.4.pdf" Type="http://schemas.openxmlformats.org/officeDocument/2006/relationships/hyperlink" Id="rId14"/>
    <Relationship TargetMode="External" Target="https://www.legis.iowa.gov/docs/ico/chapter/68B.4.pdf" Type="http://schemas.openxmlformats.org/officeDocument/2006/relationships/hyperlink" Id="rId15"/>
    <Relationship TargetMode="External" Target="https://www.legis.iowa.gov/docs/ico/chapter/68B.4.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