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351—6.3</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or filing information alleging a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 xml:space="preserve">Any person may file a complaint or provide information to the board alleging a violation of Iowa Code chapter </w:t>
      </w:r>
      <w:hyperlink r:id="rId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by officials, employees, and candidates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procedure for filing a complaint or providing information to the board alleging a violation of Iowa Code chapter </w:t>
      </w:r>
      <w:hyperlink r:id="rId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is set out in Iowa Code section </w:t>
      </w:r>
      <w:hyperlink r:id="rId6">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351—Chapter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Whistleblower protection. </w:t>
      </w:r>
      <w:r>
        <w:rPr>
          <w:rFonts w:ascii="Times New Roman" w:hAnsi="Times New Roman"/>
          <w:b w:val="false"/>
          <w:i w:val="false"/>
          <w:color w:val="000000"/>
          <w:sz w:val="22"/>
        </w:rPr>
        <w:t xml:space="preserve">A person who discharges or discriminates against an official or employee because the official or employee filed a complaint or provided information to the board will be subject to the board’s complaint process if the official or employee filed the complaint or provided the information in good faith. If it is determined after a contested case proceeding that a person has impermissibly discharged or discriminated against an official or employee, the board may impose sanctions as set out in Iowa Code section </w:t>
      </w:r>
      <w:hyperlink r:id="rId8">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For purposes of this rule, “good faith” means that any statements or materials in a complaint or included as part of information provided to the board were made or provided with a reasonable belief that such statements or materials were true and accurate.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pdf" Type="http://schemas.openxmlformats.org/officeDocument/2006/relationships/hyperlink" Id="rId4"/>
    <Relationship TargetMode="External" Target="https://www.legis.iowa.gov/docs/ico/chapter/68B.pdf" Type="http://schemas.openxmlformats.org/officeDocument/2006/relationships/hyperlink" Id="rId5"/>
    <Relationship TargetMode="External" Target="https://www.legis.iowa.gov/docs/ico/chapter/68B.32B.pdf" Type="http://schemas.openxmlformats.org/officeDocument/2006/relationships/hyperlink" Id="rId6"/>
    <Relationship TargetMode="External" Target="https://www.legis.iowa.gov/docs/iac/chapter/351.9.pdf" Type="http://schemas.openxmlformats.org/officeDocument/2006/relationships/hyperlink" Id="rId7"/>
    <Relationship TargetMode="External" Target="https://www.legis.iowa.gov/docs/ico/chapter/68B.32D.pdf" Type="http://schemas.openxmlformats.org/officeDocument/2006/relationships/hyperlink" Id="rId8"/>
    <Relationship TargetMode="External" Target="https://www.legis.iowa.gov/docs/ico/chapter/68B.32A.pdf" Type="http://schemas.openxmlformats.org/officeDocument/2006/relationships/hyperlink" Id="rId9"/>
    <Relationship TargetMode="External" Target="https://www.legis.iowa.gov/docs/ico/chapter/68B.32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