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351—6.12</w:t>
      </w:r>
      <w:r>
        <w:rPr>
          <w:rFonts w:ascii="Times New Roman" w:hAnsi="Times New Roman"/>
          <w:b/>
          <w:i w:val="false"/>
          <w:color w:val="000000"/>
          <w:sz w:val="22"/>
        </w:rPr>
        <w:t xml:space="preserve">(68B) </w:t>
      </w:r>
      <w:r>
        <w:rPr>
          <w:rFonts w:ascii="Times New Roman" w:hAnsi="Times New Roman"/>
          <w:b/>
          <w:i w:val="false"/>
          <w:color w:val="000000"/>
          <w:sz w:val="22"/>
        </w:rPr>
        <w:t xml:space="preserve">Loans from executive branch lobbyists prohibited.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“Executive branch lobbyist”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who is registered as a lobbyist with the board or is an executive branch lobbyist as defined in rule </w:t>
      </w:r>
      <w:hyperlink r:id="rId4">
        <w:r>
          <w:rPr>
            <w:rStyle w:val="Hyperlink"/>
            <w:rFonts w:ascii="Times New Roman" w:hAnsi="Times New Roman"/>
            <w:b w:val="false"/>
            <w:i w:val="false"/>
            <w:color w:val="000000"/>
            <w:sz w:val="22"/>
          </w:rPr>
          <w:t>351—8.2</w:t>
        </w:r>
      </w:hyperlink>
      <w:r>
        <w:rPr>
          <w:rFonts w:ascii="Times New Roman" w:hAnsi="Times New Roman"/>
          <w:b w:val="false"/>
          <w:i w:val="false"/>
          <w:color w:val="000000"/>
          <w:sz w:val="22"/>
        </w:rPr>
        <w:t>(68B).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“Loan”</w:t>
      </w:r>
      <w:r>
        <w:rPr>
          <w:rFonts w:ascii="Times New Roman" w:hAnsi="Times New Roman"/>
          <w:b w:val="false"/>
          <w:i w:val="false"/>
          <w:color w:val="000000"/>
          <w:sz w:val="22"/>
        </w:rPr>
        <w:t> </w:t>
      </w:r>
      <w:r>
        <w:rPr>
          <w:rFonts w:ascii="Times New Roman" w:hAnsi="Times New Roman"/>
          <w:b w:val="false"/>
          <w:i w:val="false"/>
          <w:color w:val="000000"/>
          <w:sz w:val="22"/>
        </w:rPr>
        <w:t>means a sum of money upon agreement, express or implied, to be repaid with or without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6.12(2)</w:t>
      </w:r>
      <w:r>
        <w:rPr>
          <w:rFonts w:ascii="Times New Roman" w:hAnsi="Times New Roman"/>
          <w:b w:val="false"/>
          <w:i w:val="false"/>
          <w:color w:val="000000"/>
          <w:sz w:val="22"/>
        </w:rPr>
        <w:t> </w:t>
      </w:r>
      <w:r>
        <w:rPr>
          <w:rFonts w:ascii="Times New Roman" w:hAnsi="Times New Roman"/>
          <w:b w:val="false"/>
          <w:i/>
          <w:color w:val="000000"/>
          <w:sz w:val="22"/>
        </w:rPr>
        <w:t xml:space="preserve">Offer of loan prohibited. </w:t>
      </w:r>
      <w:r>
        <w:rPr>
          <w:rFonts w:ascii="Times New Roman" w:hAnsi="Times New Roman"/>
          <w:b w:val="false"/>
          <w:i w:val="false"/>
          <w:color w:val="000000"/>
          <w:sz w:val="22"/>
        </w:rPr>
        <w:t>An executive branch lobbyist will not directly or indirectly offer or make a loan to an official, an employee, or a candidate for statewide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6.12(3)</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The prohibitions in Iowa Code section </w:t>
      </w:r>
      <w:hyperlink r:id="rId5">
        <w:r>
          <w:rPr>
            <w:rStyle w:val="Hyperlink"/>
            <w:rFonts w:ascii="Times New Roman" w:hAnsi="Times New Roman"/>
            <w:b w:val="false"/>
            <w:i w:val="false"/>
            <w:color w:val="000000"/>
            <w:sz w:val="22"/>
          </w:rPr>
          <w:t>68B.24</w:t>
        </w:r>
      </w:hyperlink>
      <w:r>
        <w:rPr>
          <w:rFonts w:ascii="Times New Roman" w:hAnsi="Times New Roman"/>
          <w:b w:val="false"/>
          <w:i w:val="false"/>
          <w:color w:val="000000"/>
          <w:sz w:val="22"/>
        </w:rPr>
        <w:t xml:space="preserve"> and this rule do not apply to a loan made in either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loan made in the ordinary course of business. “Ordinary course of business” means the loan is made by a person regularly engaged in a business that makes loans to members of the public, and the finance charges and other terms of the loan are the same as or substantially similar to the finance charges and loan terms that are available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loan made to the campaign committee of a candidate for statewide office that is subject to the campaign laws in Iowa Code chapter </w:t>
      </w:r>
      <w:hyperlink r:id="rId6">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68B.24</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68B.32A(13)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351.8.2.pdf" Type="http://schemas.openxmlformats.org/officeDocument/2006/relationships/hyperlink" Id="rId4"/>
    <Relationship TargetMode="External" Target="https://www.legis.iowa.gov/docs/ico/chapter/68B.24.pdf" Type="http://schemas.openxmlformats.org/officeDocument/2006/relationships/hyperlink" Id="rId5"/>
    <Relationship TargetMode="External" Target="https://www.legis.iowa.gov/docs/ico/chapter/68A.pdf" Type="http://schemas.openxmlformats.org/officeDocument/2006/relationships/hyperlink" Id="rId6"/>
    <Relationship TargetMode="External" Target="https://www.legis.iowa.gov/docs/ico/chapter/68B.24.pdf" Type="http://schemas.openxmlformats.org/officeDocument/2006/relationships/hyperlink" Id="rId7"/>
    <Relationship TargetMode="External" Target="https://www.legis.iowa.gov/docs/ico/chapter/68B.32A.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