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351—6.10</w:t>
      </w:r>
      <w:r>
        <w:rPr>
          <w:rFonts w:ascii="Times New Roman" w:hAnsi="Times New Roman"/>
          <w:b/>
          <w:i w:val="false"/>
          <w:color w:val="000000"/>
          <w:sz w:val="22"/>
        </w:rPr>
        <w:t xml:space="preserve">(68B) </w:t>
      </w:r>
      <w:r>
        <w:rPr>
          <w:rFonts w:ascii="Times New Roman" w:hAnsi="Times New Roman"/>
          <w:b/>
          <w:i w:val="false"/>
          <w:color w:val="000000"/>
          <w:sz w:val="22"/>
        </w:rPr>
        <w:t xml:space="preserve">Engaging in services against the interest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Public officials and employees. </w:t>
      </w:r>
      <w:r>
        <w:rPr>
          <w:rFonts w:ascii="Times New Roman" w:hAnsi="Times New Roman"/>
          <w:b w:val="false"/>
          <w:i w:val="false"/>
          <w:color w:val="000000"/>
          <w:sz w:val="22"/>
        </w:rPr>
        <w:t xml:space="preserve">Except for a member of a board or commission, no official or employee will receive compensation in any form, or enter into any type of agreement to receive compensation in any form, to appear on behalf of any person or otherwise render services against the interest of the state except as set out in Iowa Code section </w:t>
      </w:r>
      <w:hyperlink r:id="rId4">
        <w:r>
          <w:rPr>
            <w:rStyle w:val="Hyperlink"/>
            <w:rFonts w:ascii="Times New Roman" w:hAnsi="Times New Roman"/>
            <w:b w:val="false"/>
            <w:i w:val="false"/>
            <w:color w:val="000000"/>
            <w:sz w:val="22"/>
          </w:rPr>
          <w:t>68B.6</w:t>
        </w:r>
      </w:hyperlink>
      <w:r>
        <w:rPr>
          <w:rFonts w:ascii="Times New Roman" w:hAnsi="Times New Roman"/>
          <w:b w:val="false"/>
          <w:i w:val="false"/>
          <w:color w:val="000000"/>
          <w:sz w:val="22"/>
        </w:rPr>
        <w:t xml:space="preserve"> and this rule. This prohibition relates to any case, proceeding, application, or other matter before any federal court, federal bureau, federal agency, federal commission, federal department, any agency of state government, or any court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a policymaking body that has the power to hear contested cases or a policymaking body that has powers for both rulemaking and hearing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a policymaking body that has rulemaking powers.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Member of board or commission. </w:t>
      </w:r>
      <w:r>
        <w:rPr>
          <w:rFonts w:ascii="Times New Roman" w:hAnsi="Times New Roman"/>
          <w:b w:val="false"/>
          <w:i w:val="false"/>
          <w:color w:val="000000"/>
          <w:sz w:val="22"/>
        </w:rPr>
        <w:t>No member of a board or commission will receive compensation in any form, or enter into any type of agreement to receive compensation in any form, to appear on behalf of any person or otherwise render services against the interest of the state in relation to any case, proceeding, application, or other matter before the subunit of a state agency in which the member serves or is employed, or with which the member has substantial and regular contact as part of the member’s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color w:val="000000"/>
          <w:sz w:val="22"/>
        </w:rPr>
        <w:t xml:space="preserve">Exception for attorney general and public defender. </w:t>
      </w:r>
      <w:r>
        <w:rPr>
          <w:rFonts w:ascii="Times New Roman" w:hAnsi="Times New Roman"/>
          <w:b w:val="false"/>
          <w:i w:val="false"/>
          <w:color w:val="000000"/>
          <w:sz w:val="22"/>
        </w:rPr>
        <w:t xml:space="preserve">Officials and employees carrying out the official duties of the office of the attorney general or the office of the state public defender are not subject to the provisions of Iowa Code section </w:t>
      </w:r>
      <w:hyperlink r:id="rId5">
        <w:r>
          <w:rPr>
            <w:rStyle w:val="Hyperlink"/>
            <w:rFonts w:ascii="Times New Roman" w:hAnsi="Times New Roman"/>
            <w:b w:val="false"/>
            <w:i w:val="false"/>
            <w:color w:val="000000"/>
            <w:sz w:val="22"/>
          </w:rPr>
          <w:t>68B.6</w:t>
        </w:r>
      </w:hyperlink>
      <w:r>
        <w:rPr>
          <w:rFonts w:ascii="Times New Roman" w:hAnsi="Times New Roman"/>
          <w:b w:val="false"/>
          <w:i w:val="false"/>
          <w:color w:val="000000"/>
          <w:sz w:val="22"/>
        </w:rPr>
        <w:t xml:space="preserve"> or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68B.6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8B.6.pdf" Type="http://schemas.openxmlformats.org/officeDocument/2006/relationships/hyperlink" Id="rId4"/>
    <Relationship TargetMode="External" Target="https://www.legis.iowa.gov/docs/ico/chapter/68B.6.pdf" Type="http://schemas.openxmlformats.org/officeDocument/2006/relationships/hyperlink" Id="rId5"/>
    <Relationship TargetMode="External" Target="https://www.legis.iowa.gov/docs/ico/chapter/68B.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