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Contents and terminology for mammography.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contents and terminology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900.12(c)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 and this chapter.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separate and distinct section entitled “Assessment” with the appropriate assessment term or an approved equivalent shall be included.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breast density information as designated in the report pursuant to this chapter shall be included in the patient lay letter with a reference to a department-accepted site or document where the patient can obtain more information about breast density.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requirements for the communication of mammography results to patients found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900.12(c)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41.9(4)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requirements for the communication of mammography results to health care providers found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900.12(c)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41.9(5)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recordkeeping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900.12(c)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(4) and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641—subrule 37.12(2)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Facilities performing mammography shall maintain mammography records for a minimum of seven years.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41.9(6)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mammographic image identification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900.12(c)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41.37.1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